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framePr w:wrap="around"/>
        <w:ind w:left="210" w:leftChars="100"/>
        <w:rPr>
          <w:rFonts w:ascii="Times New Roman"/>
        </w:rPr>
      </w:pPr>
    </w:p>
    <w:p>
      <w:pPr>
        <w:pStyle w:val="124"/>
        <w:framePr w:wrap="around"/>
        <w:rPr>
          <w:rFonts w:ascii="Times New Roman"/>
        </w:rPr>
      </w:pPr>
      <w:r>
        <w:rPr>
          <w:rFonts w:ascii="Times New Roman"/>
        </w:rPr>
        <w:t>ICS</w:t>
      </w:r>
      <w:r>
        <w:rPr>
          <w:rFonts w:ascii="Times New Roman" w:eastAsia="MS Mincho"/>
        </w:rPr>
        <w:t> </w:t>
      </w:r>
      <w:r>
        <w:rPr>
          <w:rFonts w:ascii="Times New Roman"/>
          <w:shd w:val="pct10" w:color="auto" w:fill="FFFFFF"/>
        </w:rPr>
        <w:t>67.100</w:t>
      </w:r>
    </w:p>
    <w:p>
      <w:pPr>
        <w:pStyle w:val="124"/>
        <w:framePr w:wrap="around"/>
        <w:rPr>
          <w:rFonts w:ascii="Times New Roman"/>
        </w:rPr>
      </w:pPr>
      <w:bookmarkStart w:id="0" w:name="WXFLH"/>
      <w:r>
        <w:rPr>
          <w:rFonts w:ascii="Times New Roman"/>
        </w:rPr>
        <w:t xml:space="preserve">CCS </w:t>
      </w:r>
      <w:r>
        <w:rPr>
          <w:rFonts w:ascii="Times New Roman"/>
        </w:rPr>
        <w:fldChar w:fldCharType="begin">
          <w:ffData>
            <w:name w:val="WXFLH"/>
            <w:enabled/>
            <w:calcOnExit w:val="0"/>
            <w:helpText w:type="text" w:val="请输入中国标准文献分类号："/>
            <w:textInput>
              <w:default w:val="点击此处添加中国标准文献分类号"/>
            </w:textInput>
          </w:ffData>
        </w:fldChar>
      </w:r>
      <w:r>
        <w:rPr>
          <w:rFonts w:ascii="Times New Roman"/>
        </w:rPr>
        <w:instrText xml:space="preserve"> FORMTEXT </w:instrText>
      </w:r>
      <w:r>
        <w:rPr>
          <w:rFonts w:ascii="Times New Roman"/>
        </w:rPr>
        <w:fldChar w:fldCharType="separate"/>
      </w:r>
      <w:r>
        <w:rPr>
          <w:rFonts w:ascii="Times New Roman"/>
        </w:rPr>
        <w:t>X 04</w:t>
      </w:r>
      <w:r>
        <w:rPr>
          <w:rFonts w:ascii="Times New Roman"/>
        </w:rPr>
        <w:fldChar w:fldCharType="end"/>
      </w:r>
      <w:bookmarkEnd w:id="0"/>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4"/>
              <w:framePr w:wrap="around"/>
              <w:rPr>
                <w:rFonts w:ascii="Times New Roman"/>
              </w:rPr>
            </w:pPr>
            <w:r>
              <w:rPr>
                <w:rFonts w:ascii="Times New Roman"/>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0" b="508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rPr>
                <w:rFonts w:ascii="Times New Roman"/>
              </w:rPr>
              <w:fldChar w:fldCharType="begin">
                <w:ffData>
                  <w:name w:val="BAH"/>
                  <w:enabled/>
                  <w:calcOnExit w:val="0"/>
                  <w:textInput/>
                </w:ffData>
              </w:fldChar>
            </w:r>
            <w:bookmarkStart w:id="1" w:name="BAH"/>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1"/>
          </w:p>
        </w:tc>
      </w:tr>
    </w:tbl>
    <w:p>
      <w:pPr>
        <w:pStyle w:val="67"/>
        <w:framePr w:wrap="around"/>
      </w:pPr>
      <w:bookmarkStart w:id="2" w:name="c1"/>
      <w:r>
        <w:fldChar w:fldCharType="begin">
          <w:ffData>
            <w:name w:val="c1"/>
            <w:enabled/>
            <w:calcOnExit w:val="0"/>
            <w:textInput>
              <w:maxLength w:val="2"/>
            </w:textInput>
          </w:ffData>
        </w:fldChar>
      </w:r>
      <w:r>
        <w:instrText xml:space="preserve"> FORMTEXT </w:instrText>
      </w:r>
      <w:r>
        <w:fldChar w:fldCharType="separate"/>
      </w:r>
      <w:r>
        <w:t>NY</w:t>
      </w:r>
      <w:r>
        <w:fldChar w:fldCharType="end"/>
      </w:r>
      <w:bookmarkEnd w:id="2"/>
    </w:p>
    <w:p>
      <w:pPr>
        <w:pStyle w:val="111"/>
        <w:framePr w:wrap="around"/>
        <w:rPr>
          <w:rFonts w:ascii="Times New Roman" w:hAnsi="Times New Roman"/>
        </w:rPr>
      </w:pPr>
      <w:r>
        <w:rPr>
          <w:rFonts w:ascii="Times New Roman" w:hAnsi="Times New Roman"/>
        </w:rPr>
        <w:t>中华人民共和国</w:t>
      </w:r>
      <w:bookmarkStart w:id="3" w:name="c2"/>
      <w:r>
        <w:rPr>
          <w:rFonts w:ascii="Times New Roman" w:hAnsi="Times New Roman"/>
        </w:rPr>
        <w:fldChar w:fldCharType="begin">
          <w:ffData>
            <w:name w:val="c2"/>
            <w:enabled/>
            <w:calcOnExit w:val="0"/>
            <w:textInput/>
          </w:ffData>
        </w:fldChar>
      </w:r>
      <w:r>
        <w:rPr>
          <w:rFonts w:ascii="Times New Roman" w:hAnsi="Times New Roman"/>
        </w:rPr>
        <w:instrText xml:space="preserve"> FORMTEXT </w:instrText>
      </w:r>
      <w:r>
        <w:rPr>
          <w:rFonts w:ascii="Times New Roman" w:hAnsi="Times New Roman"/>
        </w:rPr>
        <w:fldChar w:fldCharType="separate"/>
      </w:r>
      <w:r>
        <w:rPr>
          <w:rFonts w:ascii="Times New Roman" w:hAnsi="Times New Roman"/>
        </w:rPr>
        <w:t>农业</w:t>
      </w:r>
      <w:r>
        <w:rPr>
          <w:rFonts w:ascii="Times New Roman" w:hAnsi="Times New Roman"/>
        </w:rPr>
        <w:fldChar w:fldCharType="end"/>
      </w:r>
      <w:bookmarkEnd w:id="3"/>
      <w:r>
        <w:rPr>
          <w:rFonts w:ascii="Times New Roman" w:hAnsi="Times New Roman"/>
        </w:rPr>
        <w:t>行业标准</w:t>
      </w:r>
    </w:p>
    <w:p>
      <w:pPr>
        <w:pStyle w:val="48"/>
        <w:framePr w:wrap="around"/>
        <w:rPr>
          <w:rFonts w:ascii="Times New Roman"/>
        </w:rPr>
      </w:pPr>
      <w:bookmarkStart w:id="4"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ascii="Times New Roman"/>
        </w:rPr>
        <w:t>NY</w:t>
      </w:r>
      <w:r>
        <w:rPr>
          <w:rFonts w:ascii="Times New Roman"/>
        </w:rPr>
        <w:fldChar w:fldCharType="end"/>
      </w:r>
      <w:bookmarkEnd w:id="4"/>
      <w:r>
        <w:rPr>
          <w:rFonts w:ascii="Times New Roman"/>
        </w:rPr>
        <w:t xml:space="preserve">/T </w:t>
      </w:r>
      <w:bookmarkStart w:id="5" w:name="StdNo1"/>
      <w:r>
        <w:rPr>
          <w:rFonts w:ascii="Times New Roman"/>
        </w:rPr>
        <w:fldChar w:fldCharType="begin">
          <w:ffData>
            <w:name w:val="StdNo1"/>
            <w:enabled/>
            <w:calcOnExit w:val="0"/>
            <w:textInput>
              <w:default w:val="XXXXX"/>
            </w:textInput>
          </w:ffData>
        </w:fldChar>
      </w:r>
      <w:r>
        <w:rPr>
          <w:rFonts w:ascii="Times New Roman"/>
        </w:rPr>
        <w:instrText xml:space="preserve"> FORMTEXT </w:instrText>
      </w:r>
      <w:r>
        <w:rPr>
          <w:rFonts w:ascii="Times New Roman"/>
        </w:rPr>
        <w:fldChar w:fldCharType="separate"/>
      </w:r>
      <w:r>
        <w:rPr>
          <w:rFonts w:ascii="Times New Roman"/>
        </w:rPr>
        <w:t>XXXXX</w:t>
      </w:r>
      <w:r>
        <w:rPr>
          <w:rFonts w:ascii="Times New Roman"/>
        </w:rPr>
        <w:fldChar w:fldCharType="end"/>
      </w:r>
      <w:bookmarkEnd w:id="5"/>
      <w:r>
        <w:rPr>
          <w:rFonts w:ascii="Times New Roman"/>
        </w:rPr>
        <w:t>—</w:t>
      </w:r>
      <w:bookmarkStart w:id="6" w:name="StdNo2"/>
      <w:r>
        <w:rPr>
          <w:rFonts w:ascii="Times New Roman"/>
        </w:rPr>
        <w:fldChar w:fldCharType="begin">
          <w:ffData>
            <w:name w:val="StdNo2"/>
            <w:enabled/>
            <w:calcOnExit w:val="0"/>
            <w:textInput>
              <w:default w:val="XXXX"/>
              <w:maxLength w:val="4"/>
            </w:textInput>
          </w:ffData>
        </w:fldChar>
      </w:r>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6"/>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7"/>
              <w:framePr w:wrap="around"/>
              <w:rPr>
                <w:rFonts w:ascii="Times New Roman"/>
              </w:rPr>
            </w:pPr>
            <w:bookmarkStart w:id="7" w:name="DT"/>
            <w:r>
              <w:rPr>
                <w:rFonts w:ascii="Times New Roman"/>
              </w:rPr>
              <mc:AlternateContent>
                <mc:Choice Requires="wps">
                  <w:drawing>
                    <wp:anchor distT="0" distB="0" distL="114300" distR="114300" simplePos="0" relativeHeight="251662336" behindDoc="1" locked="0" layoutInCell="1" allowOverlap="1">
                      <wp:simplePos x="0" y="0"/>
                      <wp:positionH relativeFrom="column">
                        <wp:posOffset>4734560</wp:posOffset>
                      </wp:positionH>
                      <wp:positionV relativeFrom="paragraph">
                        <wp:posOffset>34290</wp:posOffset>
                      </wp:positionV>
                      <wp:extent cx="1143000" cy="228600"/>
                      <wp:effectExtent l="0" t="0" r="2540" b="3810"/>
                      <wp:wrapNone/>
                      <wp:docPr id="5"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414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rPr>
                <w:rFonts w:ascii="Times New Roman"/>
              </w:rPr>
              <w:fldChar w:fldCharType="begin">
                <w:ffData>
                  <w:name w:val="DT"/>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7"/>
          </w:p>
        </w:tc>
      </w:tr>
    </w:tbl>
    <w:p>
      <w:pPr>
        <w:pStyle w:val="48"/>
        <w:framePr w:wrap="around"/>
        <w:rPr>
          <w:rFonts w:ascii="Times New Roman"/>
        </w:rPr>
      </w:pPr>
    </w:p>
    <w:p>
      <w:pPr>
        <w:pStyle w:val="48"/>
        <w:framePr w:wrap="around"/>
        <w:rPr>
          <w:rFonts w:ascii="Times New Roman"/>
        </w:rPr>
      </w:pPr>
    </w:p>
    <w:p>
      <w:pPr>
        <w:pStyle w:val="79"/>
        <w:framePr w:wrap="around" w:x="1134" w:y="5568"/>
        <w:rPr>
          <w:rFonts w:ascii="Times New Roman"/>
        </w:rPr>
      </w:pPr>
      <w:r>
        <w:rPr>
          <w:rFonts w:ascii="Times New Roman"/>
        </w:rPr>
        <w:fldChar w:fldCharType="begin">
          <w:ffData>
            <w:name w:val="StdName"/>
            <w:enabled/>
            <w:calcOnExit w:val="0"/>
            <w:textInput>
              <w:default w:val="巴氏杀菌乳生产技术规范"/>
            </w:textInput>
          </w:ffData>
        </w:fldChar>
      </w:r>
      <w:bookmarkStart w:id="8" w:name="StdName"/>
      <w:r>
        <w:rPr>
          <w:rFonts w:ascii="Times New Roman"/>
        </w:rPr>
        <w:instrText xml:space="preserve"> FORMTEXT </w:instrText>
      </w:r>
      <w:r>
        <w:rPr>
          <w:rFonts w:ascii="Times New Roman"/>
        </w:rPr>
        <w:fldChar w:fldCharType="separate"/>
      </w:r>
      <w:r>
        <w:rPr>
          <w:rFonts w:hint="eastAsia" w:ascii="Times New Roman"/>
        </w:rPr>
        <w:t>巴氏杀菌乳生产技术规范</w:t>
      </w:r>
      <w:r>
        <w:rPr>
          <w:rFonts w:ascii="Times New Roman"/>
        </w:rPr>
        <w:fldChar w:fldCharType="end"/>
      </w:r>
      <w:bookmarkEnd w:id="8"/>
    </w:p>
    <w:p>
      <w:pPr>
        <w:pStyle w:val="80"/>
        <w:framePr w:wrap="around" w:x="1134" w:y="5568"/>
      </w:pPr>
      <w:r>
        <w:fldChar w:fldCharType="begin">
          <w:ffData>
            <w:name w:val="StdEnglishName"/>
            <w:enabled/>
            <w:calcOnExit w:val="0"/>
            <w:textInput>
              <w:default w:val="Technical specification for the production of pasteurized milk"/>
            </w:textInput>
          </w:ffData>
        </w:fldChar>
      </w:r>
      <w:bookmarkStart w:id="9" w:name="StdEnglishName"/>
      <w:r>
        <w:instrText xml:space="preserve"> FORMTEXT </w:instrText>
      </w:r>
      <w:r>
        <w:fldChar w:fldCharType="separate"/>
      </w:r>
      <w:r>
        <w:t>Technical specification for the production of pasteurized milk</w:t>
      </w:r>
      <w:r>
        <w:fldChar w:fldCharType="end"/>
      </w:r>
      <w:bookmarkEnd w:id="9"/>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2"/>
              <w:framePr w:wrap="around" w:x="1134" w:y="5568"/>
              <w:rPr>
                <w:rFonts w:ascii="Times New Roman"/>
              </w:rPr>
            </w:pPr>
            <w:r>
              <w:rPr>
                <w:rFonts w:ascii="Times New Roman"/>
                <w:sz w:val="28"/>
                <w:szCs w:val="32"/>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3810" t="1905" r="0" b="0"/>
                      <wp:wrapNone/>
                      <wp:docPr id="4"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rFonts w:ascii="Times New Roman"/>
                <w:sz w:val="28"/>
                <w:szCs w:val="32"/>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3810" t="1905" r="0" b="0"/>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r>
              <w:rPr>
                <w:rFonts w:hint="eastAsia" w:ascii="Times New Roman"/>
                <w:sz w:val="28"/>
                <w:szCs w:val="32"/>
              </w:rPr>
              <w:t>（公开征求意见稿）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3"/>
              <w:framePr w:wrap="around" w:x="1134" w:y="5568"/>
              <w:rPr>
                <w:rFonts w:ascii="Times New Roman"/>
              </w:rPr>
            </w:pPr>
          </w:p>
        </w:tc>
      </w:tr>
    </w:tbl>
    <w:p>
      <w:pPr>
        <w:pStyle w:val="131"/>
        <w:framePr w:wrap="around" w:hAnchor="page" w:x="1441" w:y="14057"/>
      </w:pPr>
      <w:bookmarkStart w:id="10" w:name="FY"/>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10"/>
      <w:r>
        <w:t xml:space="preserve"> - </w:t>
      </w:r>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r>
        <w:t xml:space="preserve"> - </w:t>
      </w:r>
      <w:bookmarkStart w:id="11"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11"/>
      <w:r>
        <w:t>发布</w:t>
      </w:r>
    </w:p>
    <w:p>
      <w:pPr>
        <w:pStyle w:val="132"/>
        <w:framePr w:wrap="around" w:hAnchor="page" w:x="7137" w:y="14057"/>
      </w:pPr>
      <w:bookmarkStart w:id="12" w:name="SY"/>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12"/>
      <w:r>
        <w:t xml:space="preserve"> - </w:t>
      </w:r>
      <w:bookmarkStart w:id="13"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13"/>
      <w:r>
        <w:t xml:space="preserve"> - </w:t>
      </w:r>
      <w:bookmarkStart w:id="14"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14"/>
      <w:r>
        <w:t>实施</w:t>
      </w:r>
    </w:p>
    <w:p>
      <w:pPr>
        <w:pStyle w:val="112"/>
        <w:framePr w:wrap="around"/>
        <w:rPr>
          <w:rFonts w:ascii="Times New Roman"/>
        </w:rPr>
      </w:pPr>
      <w:bookmarkStart w:id="15" w:name="fm"/>
      <w:r>
        <w:rPr>
          <w:rFonts w:ascii="Times New Roman"/>
        </w:rPr>
        <w:fldChar w:fldCharType="begin">
          <w:ffData>
            <w:name w:val="fm"/>
            <w:enabled/>
            <w:calcOnExit w:val="0"/>
            <w:textInput/>
          </w:ffData>
        </w:fldChar>
      </w:r>
      <w:r>
        <w:rPr>
          <w:rFonts w:ascii="Times New Roman"/>
        </w:rPr>
        <w:instrText xml:space="preserve"> FORMTEXT </w:instrText>
      </w:r>
      <w:r>
        <w:rPr>
          <w:rFonts w:ascii="Times New Roman"/>
        </w:rPr>
        <w:fldChar w:fldCharType="separate"/>
      </w:r>
      <w:r>
        <w:rPr>
          <w:rFonts w:ascii="Times New Roman"/>
        </w:rPr>
        <w:t>中华人民共和国农业</w:t>
      </w:r>
      <w:r>
        <w:rPr>
          <w:rFonts w:hint="eastAsia" w:ascii="Times New Roman"/>
        </w:rPr>
        <w:t>农村</w:t>
      </w:r>
      <w:r>
        <w:rPr>
          <w:rFonts w:ascii="Times New Roman"/>
        </w:rPr>
        <w:t>部</w:t>
      </w:r>
      <w:r>
        <w:rPr>
          <w:rFonts w:ascii="Times New Roman"/>
        </w:rPr>
        <w:fldChar w:fldCharType="end"/>
      </w:r>
      <w:bookmarkEnd w:id="15"/>
      <w:r>
        <w:rPr>
          <w:rFonts w:ascii="Times New Roman" w:eastAsia="MS Mincho"/>
        </w:rPr>
        <w:t>   </w:t>
      </w:r>
      <w:r>
        <w:rPr>
          <w:rStyle w:val="74"/>
          <w:rFonts w:ascii="Times New Roman"/>
        </w:rPr>
        <w:t>发布</w:t>
      </w:r>
    </w:p>
    <w:p>
      <w:pPr>
        <w:pStyle w:val="23"/>
        <w:rPr>
          <w:rFonts w:ascii="Times New Roman"/>
        </w:rPr>
        <w:sectPr>
          <w:footerReference r:id="rId3" w:type="default"/>
          <w:footerReference r:id="rId4" w:type="even"/>
          <w:pgSz w:w="11906" w:h="16838"/>
          <w:pgMar w:top="567" w:right="850" w:bottom="1134" w:left="1418" w:header="0" w:footer="0" w:gutter="0"/>
          <w:pgNumType w:start="1"/>
          <w:cols w:space="425" w:num="1"/>
          <w:docGrid w:type="lines" w:linePitch="312" w:charSpace="0"/>
        </w:sectPr>
      </w:pPr>
      <w:r>
        <w:rPr>
          <w:rFonts w:ascii="Times New Roman"/>
        </w:rPr>
        <mc:AlternateContent>
          <mc:Choice Requires="wps">
            <w:drawing>
              <wp:anchor distT="0" distB="0" distL="114300" distR="114300" simplePos="0" relativeHeight="251665408" behindDoc="0" locked="0" layoutInCell="1" allowOverlap="1">
                <wp:simplePos x="0" y="0"/>
                <wp:positionH relativeFrom="column">
                  <wp:posOffset>52070</wp:posOffset>
                </wp:positionH>
                <wp:positionV relativeFrom="paragraph">
                  <wp:posOffset>8942070</wp:posOffset>
                </wp:positionV>
                <wp:extent cx="6120130" cy="0"/>
                <wp:effectExtent l="12065" t="15875" r="27305" b="22225"/>
                <wp:wrapNone/>
                <wp:docPr id="7"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4.1pt;margin-top:704.1pt;height:0pt;width:481.9pt;z-index:251665408;mso-width-relative:page;mso-height-relative:page;" filled="f" stroked="t" coordsize="21600,21600" o:gfxdata="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Uv07NUAAAALAQAADwAAAAAAAAABACAAAAAiAAAAZHJzL2Rvd25y&#10;ZXYueG1sUEsBAhQAFAAAAAgAh07iQEDKfVPIAQAAoAMAAA4AAAAAAAAAAQAgAAAAJAEAAGRycy9l&#10;Mm9Eb2MueG1sUEsFBgAAAAAGAAYAWQEAAF4FAAAAAA==&#10;">
                <v:fill on="f" focussize="0,0"/>
                <v:stroke color="#000000" joinstyle="round"/>
                <v:imagedata o:title=""/>
                <o:lock v:ext="edit" aspectratio="f"/>
              </v:line>
            </w:pict>
          </mc:Fallback>
        </mc:AlternateContent>
      </w:r>
      <w:r>
        <w:rPr>
          <w:rFonts w:ascii="Times New Roman"/>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2339975</wp:posOffset>
                </wp:positionV>
                <wp:extent cx="6120130" cy="0"/>
                <wp:effectExtent l="12065" t="15875" r="27305" b="22225"/>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131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aX8Ks8gBAACgAwAADgAAAAAAAAABACAAAAAmAQAAZHJz&#10;L2Uyb0RvYy54bWxQSwUGAAAAAAYABgBZAQAAYAUAAAAA&#10;">
                <v:fill on="f" focussize="0,0"/>
                <v:stroke color="#000000" joinstyle="round"/>
                <v:imagedata o:title=""/>
                <o:lock v:ext="edit" aspectratio="f"/>
              </v:line>
            </w:pict>
          </mc:Fallback>
        </mc:AlternateContent>
      </w:r>
    </w:p>
    <w:p>
      <w:pPr>
        <w:pStyle w:val="113"/>
        <w:rPr>
          <w:rFonts w:ascii="Times New Roman"/>
        </w:rPr>
      </w:pPr>
      <w:bookmarkStart w:id="16" w:name="_Toc364843279"/>
      <w:r>
        <w:rPr>
          <w:rFonts w:ascii="Times New Roman"/>
        </w:rPr>
        <w:t>前</w:t>
      </w:r>
      <w:bookmarkStart w:id="17" w:name="BKQY"/>
      <w:r>
        <w:rPr>
          <w:rFonts w:ascii="Times New Roman" w:eastAsia="MS Mincho"/>
        </w:rPr>
        <w:t> </w:t>
      </w:r>
      <w:r>
        <w:rPr>
          <w:rFonts w:ascii="Times New Roman" w:eastAsia="宋体"/>
        </w:rPr>
        <w:t xml:space="preserve"> </w:t>
      </w:r>
      <w:r>
        <w:rPr>
          <w:rFonts w:ascii="Times New Roman" w:eastAsia="MS Mincho"/>
        </w:rPr>
        <w:t> </w:t>
      </w:r>
      <w:r>
        <w:rPr>
          <w:rFonts w:ascii="Times New Roman"/>
        </w:rPr>
        <w:t>言</w:t>
      </w:r>
      <w:bookmarkEnd w:id="16"/>
      <w:bookmarkEnd w:id="17"/>
    </w:p>
    <w:p>
      <w:pPr>
        <w:widowControl/>
        <w:tabs>
          <w:tab w:val="center" w:pos="4201"/>
          <w:tab w:val="right" w:leader="dot" w:pos="9298"/>
        </w:tabs>
        <w:autoSpaceDE w:val="0"/>
        <w:autoSpaceDN w:val="0"/>
        <w:spacing w:line="360" w:lineRule="auto"/>
        <w:ind w:firstLine="315" w:firstLineChars="150"/>
        <w:rPr>
          <w:kern w:val="0"/>
          <w:szCs w:val="20"/>
        </w:rPr>
      </w:pPr>
      <w:r>
        <w:rPr>
          <w:kern w:val="0"/>
          <w:szCs w:val="20"/>
        </w:rPr>
        <w:t>本</w:t>
      </w:r>
      <w:r>
        <w:rPr>
          <w:rFonts w:hint="eastAsia"/>
          <w:kern w:val="0"/>
          <w:szCs w:val="20"/>
        </w:rPr>
        <w:t>文件</w:t>
      </w:r>
      <w:r>
        <w:rPr>
          <w:kern w:val="0"/>
          <w:szCs w:val="20"/>
        </w:rPr>
        <w:t>按照GB/T 1.1-2020《标准化工作导则 第1部分：</w:t>
      </w:r>
      <w:r>
        <w:rPr>
          <w:rFonts w:hint="eastAsia"/>
          <w:kern w:val="0"/>
          <w:szCs w:val="20"/>
        </w:rPr>
        <w:t>标准化文件的结构和起草规则</w:t>
      </w:r>
      <w:r>
        <w:rPr>
          <w:kern w:val="0"/>
          <w:szCs w:val="20"/>
        </w:rPr>
        <w:t>》的</w:t>
      </w:r>
      <w:r>
        <w:rPr>
          <w:rFonts w:hint="eastAsia"/>
          <w:kern w:val="0"/>
          <w:szCs w:val="20"/>
        </w:rPr>
        <w:t>规定</w:t>
      </w:r>
      <w:r>
        <w:rPr>
          <w:kern w:val="0"/>
          <w:szCs w:val="20"/>
        </w:rPr>
        <w:t>起草。</w:t>
      </w:r>
    </w:p>
    <w:p>
      <w:pPr>
        <w:spacing w:line="360" w:lineRule="auto"/>
        <w:ind w:right="560" w:firstLine="308" w:firstLineChars="147"/>
        <w:jc w:val="left"/>
        <w:rPr>
          <w:szCs w:val="21"/>
        </w:rPr>
      </w:pPr>
      <w:r>
        <w:rPr>
          <w:rFonts w:hint="eastAsia"/>
          <w:szCs w:val="21"/>
        </w:rPr>
        <w:t>请注意本文件的某些内容可能涉及专利。本文件的发布机构不承担识别专利的责任。</w:t>
      </w:r>
    </w:p>
    <w:p>
      <w:pPr>
        <w:spacing w:line="360" w:lineRule="auto"/>
        <w:ind w:right="560" w:firstLine="308" w:firstLineChars="147"/>
        <w:jc w:val="left"/>
        <w:rPr>
          <w:szCs w:val="21"/>
        </w:rPr>
      </w:pPr>
      <w:r>
        <w:rPr>
          <w:rFonts w:hint="eastAsia"/>
          <w:szCs w:val="21"/>
        </w:rPr>
        <w:t>本文件由农业农村部畜牧兽医局提出</w:t>
      </w:r>
      <w:r>
        <w:rPr>
          <w:szCs w:val="21"/>
        </w:rPr>
        <w:t>。</w:t>
      </w:r>
    </w:p>
    <w:p>
      <w:pPr>
        <w:spacing w:line="360" w:lineRule="auto"/>
        <w:ind w:right="560" w:firstLine="308" w:firstLineChars="147"/>
        <w:jc w:val="left"/>
      </w:pPr>
      <w:r>
        <w:rPr>
          <w:szCs w:val="21"/>
        </w:rPr>
        <w:t>本</w:t>
      </w:r>
      <w:r>
        <w:rPr>
          <w:rFonts w:hint="eastAsia"/>
          <w:szCs w:val="21"/>
        </w:rPr>
        <w:t>文件</w:t>
      </w:r>
      <w:r>
        <w:rPr>
          <w:szCs w:val="21"/>
        </w:rPr>
        <w:t>由</w:t>
      </w:r>
      <w:r>
        <w:t>全国畜牧业标准化技术委员会（SAC/TC 274）</w:t>
      </w:r>
      <w:r>
        <w:rPr>
          <w:szCs w:val="21"/>
        </w:rPr>
        <w:t>归口</w:t>
      </w:r>
      <w:r>
        <w:t>。</w:t>
      </w:r>
    </w:p>
    <w:p>
      <w:pPr>
        <w:spacing w:line="360" w:lineRule="auto"/>
        <w:ind w:right="560" w:firstLine="308" w:firstLineChars="147"/>
        <w:jc w:val="left"/>
        <w:rPr>
          <w:color w:val="FF0000"/>
          <w:szCs w:val="21"/>
        </w:rPr>
      </w:pPr>
      <w:r>
        <w:rPr>
          <w:szCs w:val="21"/>
        </w:rPr>
        <w:t>本</w:t>
      </w:r>
      <w:r>
        <w:rPr>
          <w:rFonts w:hint="eastAsia"/>
          <w:szCs w:val="21"/>
        </w:rPr>
        <w:t>文件</w:t>
      </w:r>
      <w:r>
        <w:rPr>
          <w:szCs w:val="21"/>
        </w:rPr>
        <w:t>起草单位：</w:t>
      </w:r>
      <w:bookmarkStart w:id="18" w:name="OLE_LINK26"/>
      <w:bookmarkStart w:id="19" w:name="OLE_LINK27"/>
      <w:r>
        <w:rPr>
          <w:color w:val="0D0D0D"/>
          <w:szCs w:val="21"/>
        </w:rPr>
        <w:t>中国农业科学院北京畜牧兽医研究所</w:t>
      </w:r>
      <w:r>
        <w:rPr>
          <w:rFonts w:hint="eastAsia"/>
          <w:color w:val="0D0D0D"/>
          <w:szCs w:val="21"/>
        </w:rPr>
        <w:t>、</w:t>
      </w:r>
      <w:r>
        <w:rPr>
          <w:color w:val="0D0D0D"/>
          <w:szCs w:val="21"/>
        </w:rPr>
        <w:t>农业</w:t>
      </w:r>
      <w:r>
        <w:rPr>
          <w:rFonts w:hint="eastAsia"/>
          <w:color w:val="0D0D0D"/>
          <w:szCs w:val="21"/>
        </w:rPr>
        <w:t>农村</w:t>
      </w:r>
      <w:r>
        <w:rPr>
          <w:color w:val="0D0D0D"/>
          <w:szCs w:val="21"/>
        </w:rPr>
        <w:t>部奶产品质量安全风险评估实验室（北京）</w:t>
      </w:r>
      <w:r>
        <w:rPr>
          <w:rFonts w:hint="eastAsia"/>
          <w:color w:val="0D0D0D"/>
          <w:szCs w:val="21"/>
        </w:rPr>
        <w:t>、</w:t>
      </w:r>
      <w:r>
        <w:rPr>
          <w:color w:val="0D0D0D"/>
          <w:szCs w:val="21"/>
        </w:rPr>
        <w:t>农业</w:t>
      </w:r>
      <w:r>
        <w:rPr>
          <w:rFonts w:hint="eastAsia"/>
          <w:color w:val="0D0D0D"/>
          <w:szCs w:val="21"/>
        </w:rPr>
        <w:t>农村</w:t>
      </w:r>
      <w:r>
        <w:rPr>
          <w:color w:val="0D0D0D"/>
          <w:szCs w:val="21"/>
        </w:rPr>
        <w:t>部奶及奶制品质量监督检验测试中心（北京）</w:t>
      </w:r>
      <w:bookmarkEnd w:id="18"/>
      <w:bookmarkEnd w:id="19"/>
      <w:r>
        <w:rPr>
          <w:color w:val="0D0D0D"/>
          <w:szCs w:val="21"/>
        </w:rPr>
        <w:t>。</w:t>
      </w:r>
    </w:p>
    <w:p>
      <w:pPr>
        <w:spacing w:line="360" w:lineRule="auto"/>
        <w:ind w:firstLine="308" w:firstLineChars="147"/>
        <w:jc w:val="left"/>
        <w:rPr>
          <w:color w:val="000000"/>
          <w:szCs w:val="21"/>
        </w:rPr>
      </w:pPr>
      <w:r>
        <w:rPr>
          <w:szCs w:val="21"/>
        </w:rPr>
        <w:t>本</w:t>
      </w:r>
      <w:r>
        <w:rPr>
          <w:rFonts w:hint="eastAsia"/>
          <w:szCs w:val="21"/>
        </w:rPr>
        <w:t>文件</w:t>
      </w:r>
      <w:r>
        <w:rPr>
          <w:szCs w:val="21"/>
        </w:rPr>
        <w:t>主要起草人：</w:t>
      </w:r>
      <w:bookmarkStart w:id="33" w:name="_GoBack"/>
      <w:bookmarkEnd w:id="33"/>
    </w:p>
    <w:p>
      <w:pPr>
        <w:pStyle w:val="23"/>
        <w:rPr>
          <w:rFonts w:ascii="Times New Roman"/>
          <w:color w:val="000000"/>
        </w:rPr>
      </w:pPr>
    </w:p>
    <w:p>
      <w:pPr>
        <w:pStyle w:val="23"/>
        <w:ind w:firstLine="0" w:firstLineChars="0"/>
        <w:rPr>
          <w:rFonts w:ascii="Times New Roman"/>
        </w:rPr>
      </w:pPr>
    </w:p>
    <w:p/>
    <w:p/>
    <w:p/>
    <w:p/>
    <w:p>
      <w:pPr>
        <w:jc w:val="right"/>
      </w:pPr>
    </w:p>
    <w:p/>
    <w:p>
      <w:pPr>
        <w:sectPr>
          <w:headerReference r:id="rId5" w:type="default"/>
          <w:footerReference r:id="rId6" w:type="default"/>
          <w:pgSz w:w="11906" w:h="16838"/>
          <w:pgMar w:top="567" w:right="1134" w:bottom="1134" w:left="1418" w:header="1418" w:footer="1134" w:gutter="0"/>
          <w:pgNumType w:start="1"/>
          <w:cols w:space="425" w:num="1"/>
          <w:formProt w:val="0"/>
          <w:docGrid w:type="lines" w:linePitch="312" w:charSpace="0"/>
        </w:sectPr>
      </w:pPr>
    </w:p>
    <w:p>
      <w:pPr>
        <w:spacing w:line="360" w:lineRule="auto"/>
        <w:ind w:right="-328" w:rightChars="-156"/>
        <w:jc w:val="center"/>
        <w:rPr>
          <w:rFonts w:eastAsia="黑体"/>
          <w:sz w:val="36"/>
          <w:szCs w:val="36"/>
        </w:rPr>
      </w:pPr>
      <w:r>
        <w:rPr>
          <w:rFonts w:hint="eastAsia" w:eastAsia="黑体"/>
          <w:sz w:val="36"/>
          <w:szCs w:val="36"/>
        </w:rPr>
        <w:t>巴氏杀菌乳生产技术规范</w:t>
      </w:r>
    </w:p>
    <w:p>
      <w:pPr>
        <w:pStyle w:val="46"/>
        <w:ind w:left="0"/>
        <w:rPr>
          <w:rFonts w:ascii="Times New Roman"/>
        </w:rPr>
      </w:pPr>
      <w:bookmarkStart w:id="20" w:name="_Toc364843280"/>
      <w:r>
        <w:rPr>
          <w:rFonts w:ascii="Times New Roman"/>
        </w:rPr>
        <w:t>范围</w:t>
      </w:r>
      <w:bookmarkEnd w:id="20"/>
    </w:p>
    <w:p>
      <w:pPr>
        <w:spacing w:line="360" w:lineRule="auto"/>
        <w:ind w:right="28" w:firstLine="308" w:firstLineChars="147"/>
        <w:rPr>
          <w:szCs w:val="21"/>
        </w:rPr>
      </w:pPr>
      <w:r>
        <w:rPr>
          <w:rFonts w:hint="eastAsia"/>
          <w:szCs w:val="21"/>
        </w:rPr>
        <w:t>本文件规定了巴氏杀菌乳生产的工艺流程、生乳和加工的技术要求。</w:t>
      </w:r>
    </w:p>
    <w:p>
      <w:pPr>
        <w:spacing w:line="360" w:lineRule="auto"/>
        <w:ind w:right="28" w:firstLine="308" w:firstLineChars="147"/>
        <w:rPr>
          <w:szCs w:val="21"/>
        </w:rPr>
      </w:pPr>
      <w:r>
        <w:rPr>
          <w:rFonts w:hint="eastAsia"/>
          <w:szCs w:val="21"/>
        </w:rPr>
        <w:t>本文件适用于高温短时间连续法和低温长时间法生产的全脂、脱脂和部分脱脂巴氏杀菌乳。</w:t>
      </w:r>
    </w:p>
    <w:p>
      <w:pPr>
        <w:pStyle w:val="46"/>
        <w:ind w:left="0"/>
        <w:rPr>
          <w:rFonts w:ascii="Times New Roman"/>
        </w:rPr>
      </w:pPr>
      <w:bookmarkStart w:id="21" w:name="_Toc364843281"/>
      <w:r>
        <w:rPr>
          <w:rFonts w:ascii="Times New Roman"/>
        </w:rPr>
        <w:t>规范性引用文件</w:t>
      </w:r>
      <w:bookmarkEnd w:id="21"/>
    </w:p>
    <w:p>
      <w:pPr>
        <w:spacing w:line="360" w:lineRule="auto"/>
        <w:ind w:firstLine="420" w:firstLineChars="200"/>
        <w:rPr>
          <w:szCs w:val="21"/>
        </w:rPr>
      </w:pPr>
      <w:bookmarkStart w:id="22" w:name="_Hlk512694936"/>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60" w:lineRule="auto"/>
        <w:ind w:right="28" w:firstLine="424" w:firstLineChars="202"/>
        <w:rPr>
          <w:szCs w:val="21"/>
        </w:rPr>
      </w:pPr>
      <w:r>
        <w:rPr>
          <w:rFonts w:hint="eastAsia"/>
          <w:szCs w:val="21"/>
        </w:rPr>
        <w:t>GB/T 19063 液体食品包装设备验收规范</w:t>
      </w:r>
    </w:p>
    <w:p>
      <w:pPr>
        <w:spacing w:line="360" w:lineRule="auto"/>
        <w:ind w:firstLine="420" w:firstLineChars="200"/>
        <w:rPr>
          <w:szCs w:val="21"/>
        </w:rPr>
      </w:pPr>
      <w:r>
        <w:rPr>
          <w:rFonts w:hint="eastAsia"/>
          <w:szCs w:val="21"/>
        </w:rPr>
        <w:t>GB 19301</w:t>
      </w:r>
      <w:r>
        <w:rPr>
          <w:szCs w:val="21"/>
        </w:rPr>
        <w:t xml:space="preserve"> </w:t>
      </w:r>
      <w:r>
        <w:rPr>
          <w:rFonts w:hint="eastAsia"/>
          <w:szCs w:val="21"/>
        </w:rPr>
        <w:t>食品安全国家标准 生乳</w:t>
      </w:r>
    </w:p>
    <w:p>
      <w:pPr>
        <w:spacing w:line="360" w:lineRule="auto"/>
        <w:ind w:firstLine="420" w:firstLineChars="200"/>
        <w:rPr>
          <w:szCs w:val="21"/>
        </w:rPr>
      </w:pPr>
      <w:r>
        <w:rPr>
          <w:szCs w:val="21"/>
        </w:rPr>
        <w:t xml:space="preserve">GB 19645 </w:t>
      </w:r>
      <w:r>
        <w:rPr>
          <w:rFonts w:hint="eastAsia"/>
          <w:szCs w:val="21"/>
        </w:rPr>
        <w:t>食品</w:t>
      </w:r>
      <w:r>
        <w:rPr>
          <w:szCs w:val="21"/>
        </w:rPr>
        <w:t>安全国家</w:t>
      </w:r>
      <w:r>
        <w:rPr>
          <w:rFonts w:hint="eastAsia"/>
          <w:szCs w:val="21"/>
        </w:rPr>
        <w:t>标准 巴氏杀菌乳</w:t>
      </w:r>
    </w:p>
    <w:p>
      <w:pPr>
        <w:spacing w:line="360" w:lineRule="auto"/>
        <w:ind w:firstLine="420" w:firstLineChars="200"/>
        <w:rPr>
          <w:szCs w:val="21"/>
        </w:rPr>
      </w:pPr>
      <w:r>
        <w:rPr>
          <w:rFonts w:hint="eastAsia"/>
          <w:szCs w:val="21"/>
        </w:rPr>
        <w:t>G</w:t>
      </w:r>
      <w:r>
        <w:rPr>
          <w:szCs w:val="21"/>
        </w:rPr>
        <w:t xml:space="preserve">B/T 28118 </w:t>
      </w:r>
      <w:r>
        <w:rPr>
          <w:rFonts w:hint="eastAsia"/>
          <w:szCs w:val="21"/>
        </w:rPr>
        <w:t>食品包装用塑料与铝箔复合膜、袋</w:t>
      </w:r>
    </w:p>
    <w:bookmarkEnd w:id="22"/>
    <w:p>
      <w:pPr>
        <w:pStyle w:val="46"/>
        <w:ind w:left="0"/>
        <w:rPr>
          <w:rFonts w:ascii="Times New Roman"/>
        </w:rPr>
      </w:pPr>
      <w:bookmarkStart w:id="23" w:name="_Toc364843283"/>
      <w:bookmarkEnd w:id="23"/>
      <w:r>
        <w:rPr>
          <w:rFonts w:ascii="Times New Roman"/>
        </w:rPr>
        <w:t>术语和定义</w:t>
      </w:r>
    </w:p>
    <w:p>
      <w:pPr>
        <w:pStyle w:val="23"/>
        <w:rPr>
          <w:rFonts w:ascii="Times New Roman"/>
        </w:rPr>
      </w:pPr>
      <w:r>
        <w:rPr>
          <w:rFonts w:ascii="Times New Roman"/>
        </w:rPr>
        <w:t>下列术语和定义适用于本文件。</w:t>
      </w:r>
    </w:p>
    <w:p>
      <w:pPr>
        <w:pStyle w:val="43"/>
        <w:rPr>
          <w:rFonts w:ascii="Times New Roman" w:eastAsia="宋体"/>
        </w:rPr>
      </w:pPr>
    </w:p>
    <w:p>
      <w:pPr>
        <w:pStyle w:val="43"/>
        <w:numPr>
          <w:ilvl w:val="0"/>
          <w:numId w:val="0"/>
        </w:numPr>
        <w:ind w:firstLine="527" w:firstLineChars="250"/>
        <w:rPr>
          <w:rFonts w:ascii="Times New Roman" w:eastAsia="宋体"/>
          <w:b/>
          <w:highlight w:val="yellow"/>
        </w:rPr>
      </w:pPr>
      <w:r>
        <w:rPr>
          <w:rFonts w:hint="eastAsia" w:ascii="Times New Roman" w:eastAsia="宋体"/>
          <w:b/>
          <w:highlight w:val="yellow"/>
        </w:rPr>
        <w:t>巴氏杀菌乳  pasteurized milk</w:t>
      </w:r>
    </w:p>
    <w:p>
      <w:pPr>
        <w:pStyle w:val="43"/>
        <w:numPr>
          <w:ilvl w:val="0"/>
          <w:numId w:val="0"/>
        </w:numPr>
        <w:ind w:firstLine="527" w:firstLineChars="250"/>
        <w:rPr>
          <w:rFonts w:ascii="Times New Roman" w:eastAsia="宋体"/>
          <w:b/>
        </w:rPr>
      </w:pPr>
      <w:r>
        <w:rPr>
          <w:rFonts w:hint="eastAsia" w:ascii="Times New Roman" w:eastAsia="宋体"/>
          <w:b/>
          <w:highlight w:val="yellow"/>
        </w:rPr>
        <w:t>巴氏消毒奶</w:t>
      </w:r>
    </w:p>
    <w:p>
      <w:pPr>
        <w:pStyle w:val="43"/>
        <w:numPr>
          <w:ilvl w:val="0"/>
          <w:numId w:val="0"/>
        </w:numPr>
        <w:ind w:firstLine="525" w:firstLineChars="250"/>
        <w:rPr>
          <w:rFonts w:ascii="Times New Roman" w:eastAsia="宋体"/>
        </w:rPr>
      </w:pPr>
      <w:r>
        <w:rPr>
          <w:rFonts w:hint="eastAsia" w:ascii="Times New Roman" w:eastAsia="宋体"/>
        </w:rPr>
        <w:t>仅以生乳为原料，经巴氏杀菌（见附录A）等生产工艺制得的液体产品。</w:t>
      </w:r>
    </w:p>
    <w:p>
      <w:pPr>
        <w:pStyle w:val="46"/>
        <w:ind w:left="0"/>
        <w:rPr>
          <w:rFonts w:ascii="Times New Roman"/>
        </w:rPr>
      </w:pPr>
      <w:r>
        <w:rPr>
          <w:rFonts w:hint="eastAsia" w:ascii="Times New Roman"/>
        </w:rPr>
        <w:t>加工工序流程要求</w:t>
      </w:r>
    </w:p>
    <w:p>
      <w:pPr>
        <w:pStyle w:val="23"/>
      </w:pPr>
      <w:r>
        <w:rPr>
          <w:rFonts w:hint="eastAsia"/>
        </w:rPr>
        <w:t>应符合图</w:t>
      </w:r>
      <w:r>
        <w:rPr>
          <w:rFonts w:hint="eastAsia" w:ascii="Times New Roman"/>
          <w:szCs w:val="21"/>
        </w:rPr>
        <w:t>1</w:t>
      </w:r>
      <w:r>
        <w:rPr>
          <w:rFonts w:hint="eastAsia"/>
        </w:rPr>
        <w:t>的规定。</w:t>
      </w:r>
    </w:p>
    <w:p>
      <w:pPr>
        <w:pStyle w:val="23"/>
      </w:pPr>
    </w:p>
    <w:p>
      <w:pPr>
        <w:jc w:val="center"/>
      </w:pPr>
      <w:r>
        <w:drawing>
          <wp:inline distT="0" distB="0" distL="0" distR="0">
            <wp:extent cx="5275580" cy="331724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9" cstate="print">
                      <a:extLst>
                        <a:ext uri="{28A0092B-C50C-407E-A947-70E740481C1C}">
                          <a14:useLocalDpi xmlns:a14="http://schemas.microsoft.com/office/drawing/2010/main" val="0"/>
                        </a:ext>
                      </a:extLst>
                    </a:blip>
                    <a:srcRect b="22357"/>
                    <a:stretch>
                      <a:fillRect/>
                    </a:stretch>
                  </pic:blipFill>
                  <pic:spPr>
                    <a:xfrm>
                      <a:off x="0" y="0"/>
                      <a:ext cx="5275580" cy="3317631"/>
                    </a:xfrm>
                    <a:prstGeom prst="rect">
                      <a:avLst/>
                    </a:prstGeom>
                    <a:noFill/>
                    <a:ln>
                      <a:noFill/>
                    </a:ln>
                  </pic:spPr>
                </pic:pic>
              </a:graphicData>
            </a:graphic>
          </wp:inline>
        </w:drawing>
      </w:r>
    </w:p>
    <w:p>
      <w:pPr>
        <w:ind w:firstLine="420" w:firstLineChars="200"/>
        <w:jc w:val="left"/>
      </w:pPr>
      <w:r>
        <w:rPr>
          <w:rFonts w:hint="eastAsia"/>
        </w:rPr>
        <w:t>┄┄┄虚线框流程为可选工序</w:t>
      </w:r>
    </w:p>
    <w:p>
      <w:pPr>
        <w:widowControl/>
        <w:tabs>
          <w:tab w:val="center" w:pos="4201"/>
          <w:tab w:val="right" w:leader="dot" w:pos="9298"/>
        </w:tabs>
        <w:autoSpaceDE w:val="0"/>
        <w:autoSpaceDN w:val="0"/>
        <w:spacing w:line="360" w:lineRule="auto"/>
        <w:jc w:val="center"/>
        <w:rPr>
          <w:rFonts w:ascii="黑体" w:hAnsi="黑体" w:eastAsia="黑体"/>
          <w:kern w:val="0"/>
          <w:szCs w:val="21"/>
        </w:rPr>
      </w:pPr>
      <w:r>
        <w:rPr>
          <w:rFonts w:hint="eastAsia" w:ascii="黑体" w:hAnsi="黑体" w:eastAsia="黑体"/>
          <w:kern w:val="0"/>
          <w:szCs w:val="21"/>
        </w:rPr>
        <w:t>图</w:t>
      </w:r>
      <w:r>
        <w:rPr>
          <w:rFonts w:hint="eastAsia"/>
          <w:kern w:val="0"/>
          <w:szCs w:val="21"/>
        </w:rPr>
        <w:t>1</w:t>
      </w:r>
      <w:r>
        <w:rPr>
          <w:rFonts w:hint="eastAsia" w:ascii="黑体" w:hAnsi="黑体" w:eastAsia="黑体"/>
          <w:kern w:val="0"/>
          <w:szCs w:val="21"/>
        </w:rPr>
        <w:t xml:space="preserve"> 巴氏杀菌乳加工工序</w:t>
      </w:r>
      <w:r>
        <w:rPr>
          <w:rFonts w:ascii="黑体" w:hAnsi="黑体" w:eastAsia="黑体"/>
          <w:kern w:val="0"/>
          <w:szCs w:val="21"/>
        </w:rPr>
        <w:t>流程图</w:t>
      </w:r>
    </w:p>
    <w:p>
      <w:pPr>
        <w:pStyle w:val="46"/>
        <w:ind w:left="0"/>
        <w:rPr>
          <w:rFonts w:ascii="Times New Roman"/>
        </w:rPr>
      </w:pPr>
      <w:r>
        <w:rPr>
          <w:rFonts w:ascii="Times New Roman"/>
        </w:rPr>
        <w:t>加工</w:t>
      </w:r>
    </w:p>
    <w:p>
      <w:pPr>
        <w:pStyle w:val="43"/>
        <w:rPr>
          <w:rFonts w:hAnsi="黑体"/>
        </w:rPr>
      </w:pPr>
      <w:r>
        <w:rPr>
          <w:rFonts w:hint="eastAsia" w:hAnsi="黑体"/>
        </w:rPr>
        <w:t>设备的清洗消毒</w:t>
      </w:r>
    </w:p>
    <w:p>
      <w:pPr>
        <w:pStyle w:val="43"/>
        <w:numPr>
          <w:ilvl w:val="0"/>
          <w:numId w:val="0"/>
        </w:numPr>
        <w:rPr>
          <w:rFonts w:hAnsi="黑体"/>
        </w:rPr>
      </w:pPr>
      <w:r>
        <w:rPr>
          <w:rFonts w:hint="eastAsia" w:hAnsi="黑体"/>
        </w:rPr>
        <w:t>5.1.</w:t>
      </w:r>
      <w:r>
        <w:rPr>
          <w:rFonts w:hAnsi="黑体"/>
        </w:rPr>
        <w:t>1</w:t>
      </w:r>
      <w:r>
        <w:rPr>
          <w:rFonts w:hint="eastAsia" w:hAnsi="黑体"/>
        </w:rPr>
        <w:t xml:space="preserve"> 清洗</w:t>
      </w:r>
    </w:p>
    <w:p>
      <w:pPr>
        <w:pStyle w:val="23"/>
        <w:spacing w:line="360" w:lineRule="auto"/>
        <w:rPr>
          <w:rFonts w:ascii="Times New Roman"/>
        </w:rPr>
      </w:pPr>
      <w:r>
        <w:rPr>
          <w:rFonts w:ascii="Times New Roman"/>
        </w:rPr>
        <w:t>——</w:t>
      </w:r>
      <w:r>
        <w:rPr>
          <w:rFonts w:hint="eastAsia" w:ascii="Times New Roman"/>
        </w:rPr>
        <w:t>巴氏杀菌程序完成后，应执行杀菌机清洗程序。</w:t>
      </w:r>
    </w:p>
    <w:p>
      <w:pPr>
        <w:pStyle w:val="23"/>
        <w:spacing w:line="360" w:lineRule="auto"/>
        <w:rPr>
          <w:rFonts w:ascii="Times New Roman"/>
        </w:rPr>
      </w:pPr>
      <w:r>
        <w:rPr>
          <w:rFonts w:ascii="Times New Roman"/>
        </w:rPr>
        <w:t>——</w:t>
      </w:r>
      <w:r>
        <w:rPr>
          <w:rFonts w:hint="eastAsia" w:ascii="Times New Roman"/>
        </w:rPr>
        <w:t>灌装程序完成后，应执行灌装机清洗程序。</w:t>
      </w:r>
    </w:p>
    <w:p>
      <w:pPr>
        <w:pStyle w:val="23"/>
        <w:spacing w:line="360" w:lineRule="auto"/>
        <w:rPr>
          <w:rFonts w:ascii="Times New Roman"/>
        </w:rPr>
      </w:pPr>
      <w:r>
        <w:rPr>
          <w:rFonts w:ascii="Times New Roman"/>
        </w:rPr>
        <w:t>——</w:t>
      </w:r>
      <w:r>
        <w:rPr>
          <w:rFonts w:hint="eastAsia" w:ascii="Times New Roman"/>
        </w:rPr>
        <w:t>杀菌机和灌装机等连接活接、均质机减震管，应至少每7 d手动清洗一次。</w:t>
      </w:r>
    </w:p>
    <w:p>
      <w:pPr>
        <w:pStyle w:val="43"/>
        <w:numPr>
          <w:ilvl w:val="0"/>
          <w:numId w:val="0"/>
        </w:numPr>
        <w:rPr>
          <w:rFonts w:hAnsi="黑体"/>
        </w:rPr>
      </w:pPr>
      <w:r>
        <w:rPr>
          <w:rFonts w:hint="eastAsia" w:hAnsi="黑体"/>
        </w:rPr>
        <w:t>5</w:t>
      </w:r>
      <w:r>
        <w:rPr>
          <w:rFonts w:hAnsi="黑体"/>
        </w:rPr>
        <w:t xml:space="preserve">.1.2 </w:t>
      </w:r>
      <w:r>
        <w:rPr>
          <w:rFonts w:hint="eastAsia" w:hAnsi="黑体"/>
        </w:rPr>
        <w:t>消毒</w:t>
      </w:r>
    </w:p>
    <w:p>
      <w:pPr>
        <w:pStyle w:val="23"/>
        <w:spacing w:line="360" w:lineRule="auto"/>
        <w:rPr>
          <w:rFonts w:ascii="Times New Roman"/>
        </w:rPr>
      </w:pPr>
      <w:r>
        <w:rPr>
          <w:rFonts w:ascii="Times New Roman"/>
        </w:rPr>
        <w:t>——</w:t>
      </w:r>
      <w:r>
        <w:rPr>
          <w:rFonts w:hint="eastAsia" w:ascii="Times New Roman"/>
        </w:rPr>
        <w:t>启动巴氏杀菌程序前，应执行杀菌机消毒程序。</w:t>
      </w:r>
    </w:p>
    <w:p>
      <w:pPr>
        <w:pStyle w:val="23"/>
        <w:spacing w:line="360" w:lineRule="auto"/>
        <w:rPr>
          <w:rFonts w:ascii="Times New Roman"/>
        </w:rPr>
      </w:pPr>
      <w:r>
        <w:rPr>
          <w:rFonts w:ascii="Times New Roman"/>
        </w:rPr>
        <w:t>——</w:t>
      </w:r>
      <w:r>
        <w:rPr>
          <w:rFonts w:hint="eastAsia" w:ascii="Times New Roman"/>
        </w:rPr>
        <w:t>启动灌装程序前，应执行灌装机消毒程序。</w:t>
      </w:r>
    </w:p>
    <w:p>
      <w:pPr>
        <w:pStyle w:val="43"/>
        <w:numPr>
          <w:ilvl w:val="0"/>
          <w:numId w:val="0"/>
        </w:numPr>
        <w:rPr>
          <w:rFonts w:hAnsi="黑体"/>
        </w:rPr>
      </w:pPr>
      <w:r>
        <w:rPr>
          <w:rFonts w:hint="eastAsia" w:hAnsi="黑体"/>
        </w:rPr>
        <w:t>5</w:t>
      </w:r>
      <w:r>
        <w:rPr>
          <w:rFonts w:hAnsi="黑体"/>
        </w:rPr>
        <w:t xml:space="preserve">.1.3 </w:t>
      </w:r>
      <w:r>
        <w:rPr>
          <w:rFonts w:hint="eastAsia" w:hAnsi="黑体"/>
        </w:rPr>
        <w:t>清洗消毒程序验证</w:t>
      </w:r>
    </w:p>
    <w:p>
      <w:pPr>
        <w:pStyle w:val="23"/>
        <w:spacing w:line="360" w:lineRule="auto"/>
        <w:rPr>
          <w:szCs w:val="21"/>
        </w:rPr>
      </w:pPr>
      <w:r>
        <w:rPr>
          <w:rFonts w:ascii="Times New Roman"/>
        </w:rPr>
        <w:t>——</w:t>
      </w:r>
      <w:r>
        <w:rPr>
          <w:rFonts w:hint="eastAsia"/>
          <w:szCs w:val="21"/>
        </w:rPr>
        <w:t>输送生乳前，应</w:t>
      </w:r>
      <w:r>
        <w:rPr>
          <w:szCs w:val="21"/>
        </w:rPr>
        <w:t>确保</w:t>
      </w:r>
      <w:r>
        <w:rPr>
          <w:rFonts w:hint="eastAsia"/>
          <w:szCs w:val="21"/>
        </w:rPr>
        <w:t>收奶</w:t>
      </w:r>
      <w:r>
        <w:rPr>
          <w:szCs w:val="21"/>
        </w:rPr>
        <w:t>管道和贮奶仓已经</w:t>
      </w:r>
      <w:r>
        <w:rPr>
          <w:rFonts w:hint="eastAsia"/>
          <w:szCs w:val="21"/>
        </w:rPr>
        <w:t>消毒</w:t>
      </w:r>
      <w:r>
        <w:rPr>
          <w:szCs w:val="21"/>
        </w:rPr>
        <w:t>，</w:t>
      </w:r>
      <w:r>
        <w:rPr>
          <w:rFonts w:hint="eastAsia"/>
          <w:szCs w:val="21"/>
        </w:rPr>
        <w:t>感官</w:t>
      </w:r>
      <w:r>
        <w:rPr>
          <w:szCs w:val="21"/>
        </w:rPr>
        <w:t>检查无污垢，无清洗剂残留，清洗液</w:t>
      </w:r>
      <w:r>
        <w:rPr>
          <w:rFonts w:ascii="Times New Roman"/>
          <w:szCs w:val="21"/>
        </w:rPr>
        <w:t>pH</w:t>
      </w:r>
      <w:r>
        <w:rPr>
          <w:szCs w:val="21"/>
        </w:rPr>
        <w:t>呈中性。</w:t>
      </w:r>
    </w:p>
    <w:p>
      <w:pPr>
        <w:pStyle w:val="23"/>
        <w:spacing w:line="360" w:lineRule="auto"/>
        <w:rPr>
          <w:rFonts w:ascii="Times New Roman"/>
        </w:rPr>
      </w:pPr>
      <w:r>
        <w:rPr>
          <w:rFonts w:ascii="Times New Roman"/>
        </w:rPr>
        <w:t>——</w:t>
      </w:r>
      <w:r>
        <w:rPr>
          <w:rFonts w:hint="eastAsia" w:ascii="Times New Roman"/>
        </w:rPr>
        <w:t>启动</w:t>
      </w:r>
      <w:r>
        <w:rPr>
          <w:rFonts w:ascii="Times New Roman"/>
        </w:rPr>
        <w:t>巴氏杀菌</w:t>
      </w:r>
      <w:r>
        <w:rPr>
          <w:rFonts w:hint="eastAsia" w:ascii="Times New Roman"/>
        </w:rPr>
        <w:t>程序</w:t>
      </w:r>
      <w:r>
        <w:rPr>
          <w:rFonts w:ascii="Times New Roman"/>
        </w:rPr>
        <w:t>前，应确保</w:t>
      </w:r>
      <w:r>
        <w:rPr>
          <w:rFonts w:hint="eastAsia" w:ascii="Times New Roman"/>
        </w:rPr>
        <w:t>生产</w:t>
      </w:r>
      <w:r>
        <w:rPr>
          <w:rFonts w:ascii="Times New Roman"/>
        </w:rPr>
        <w:t>管道</w:t>
      </w:r>
      <w:r>
        <w:rPr>
          <w:rFonts w:hint="eastAsia" w:ascii="Times New Roman"/>
        </w:rPr>
        <w:t>、均质机和巴氏杀菌机等已经</w:t>
      </w:r>
      <w:r>
        <w:rPr>
          <w:rFonts w:ascii="Times New Roman"/>
        </w:rPr>
        <w:t>消毒，</w:t>
      </w:r>
      <w:r>
        <w:rPr>
          <w:rFonts w:hint="eastAsia" w:ascii="Times New Roman"/>
        </w:rPr>
        <w:t>检测清洗</w:t>
      </w:r>
      <w:r>
        <w:rPr>
          <w:rFonts w:ascii="Times New Roman"/>
        </w:rPr>
        <w:t>点，</w:t>
      </w:r>
      <w:r>
        <w:rPr>
          <w:rFonts w:hint="eastAsia" w:ascii="Times New Roman"/>
        </w:rPr>
        <w:t>感官</w:t>
      </w:r>
      <w:r>
        <w:rPr>
          <w:rFonts w:ascii="Times New Roman"/>
        </w:rPr>
        <w:t>检查无污垢，无清洗剂残留，清洗液pH呈中性。</w:t>
      </w:r>
    </w:p>
    <w:p>
      <w:pPr>
        <w:pStyle w:val="23"/>
        <w:spacing w:line="360" w:lineRule="auto"/>
        <w:rPr>
          <w:rFonts w:ascii="Times New Roman"/>
        </w:rPr>
      </w:pPr>
      <w:r>
        <w:rPr>
          <w:rFonts w:ascii="Times New Roman"/>
        </w:rPr>
        <w:t>——</w:t>
      </w:r>
      <w:r>
        <w:rPr>
          <w:rFonts w:hint="eastAsia" w:ascii="Times New Roman"/>
        </w:rPr>
        <w:t>启动灌装程序</w:t>
      </w:r>
      <w:r>
        <w:rPr>
          <w:rFonts w:ascii="Times New Roman"/>
        </w:rPr>
        <w:t>前，应确保</w:t>
      </w:r>
      <w:r>
        <w:rPr>
          <w:rFonts w:hint="eastAsia" w:ascii="Times New Roman"/>
        </w:rPr>
        <w:t>灌装</w:t>
      </w:r>
      <w:r>
        <w:rPr>
          <w:rFonts w:ascii="Times New Roman"/>
        </w:rPr>
        <w:t>管道</w:t>
      </w:r>
      <w:r>
        <w:rPr>
          <w:rFonts w:hint="eastAsia" w:ascii="Times New Roman"/>
        </w:rPr>
        <w:t>、半成品储存罐和</w:t>
      </w:r>
      <w:r>
        <w:rPr>
          <w:rFonts w:ascii="Times New Roman"/>
        </w:rPr>
        <w:t>灌装</w:t>
      </w:r>
      <w:r>
        <w:rPr>
          <w:rFonts w:hint="eastAsia" w:ascii="Times New Roman"/>
        </w:rPr>
        <w:t>机已经</w:t>
      </w:r>
      <w:r>
        <w:rPr>
          <w:rFonts w:ascii="Times New Roman"/>
        </w:rPr>
        <w:t>消毒，</w:t>
      </w:r>
      <w:r>
        <w:rPr>
          <w:rFonts w:hint="eastAsia" w:ascii="Times New Roman"/>
        </w:rPr>
        <w:t>检测清洗</w:t>
      </w:r>
      <w:r>
        <w:rPr>
          <w:rFonts w:ascii="Times New Roman"/>
        </w:rPr>
        <w:t>点，</w:t>
      </w:r>
      <w:r>
        <w:rPr>
          <w:rFonts w:hint="eastAsia" w:ascii="Times New Roman"/>
        </w:rPr>
        <w:t>感官</w:t>
      </w:r>
      <w:r>
        <w:rPr>
          <w:rFonts w:ascii="Times New Roman"/>
        </w:rPr>
        <w:t>检查无污垢，无清洗剂残留，清洗液pH呈中性。</w:t>
      </w:r>
    </w:p>
    <w:p>
      <w:pPr>
        <w:pStyle w:val="23"/>
        <w:spacing w:line="360" w:lineRule="auto"/>
        <w:rPr>
          <w:rFonts w:ascii="Times New Roman"/>
        </w:rPr>
      </w:pPr>
      <w:r>
        <w:rPr>
          <w:rFonts w:ascii="Times New Roman"/>
        </w:rPr>
        <w:t>——</w:t>
      </w:r>
      <w:r>
        <w:rPr>
          <w:rFonts w:hint="eastAsia" w:ascii="Times New Roman"/>
        </w:rPr>
        <w:t>巴氏杀菌程序后清洗设备、灌装程序后清洗设备和手动清洗管件，应无肉眼可见奶垢和杂质。</w:t>
      </w:r>
    </w:p>
    <w:p>
      <w:pPr>
        <w:pStyle w:val="43"/>
        <w:rPr>
          <w:rFonts w:hAnsi="黑体"/>
        </w:rPr>
      </w:pPr>
      <w:r>
        <w:rPr>
          <w:rFonts w:hint="eastAsia" w:hAnsi="黑体"/>
        </w:rPr>
        <w:t>生乳验收</w:t>
      </w:r>
    </w:p>
    <w:p>
      <w:pPr>
        <w:pStyle w:val="23"/>
        <w:spacing w:line="360" w:lineRule="auto"/>
      </w:pPr>
      <w:r>
        <w:rPr>
          <w:rFonts w:ascii="Times New Roman"/>
        </w:rPr>
        <w:t>——</w:t>
      </w:r>
      <w:r>
        <w:rPr>
          <w:rFonts w:hint="eastAsia"/>
        </w:rPr>
        <w:t>应</w:t>
      </w:r>
      <w:r>
        <w:t>符</w:t>
      </w:r>
      <w:r>
        <w:rPr>
          <w:rFonts w:ascii="Times New Roman"/>
        </w:rPr>
        <w:t>合GB 19301</w:t>
      </w:r>
      <w:r>
        <w:rPr>
          <w:rFonts w:hint="eastAsia" w:ascii="Times New Roman"/>
        </w:rPr>
        <w:t>的</w:t>
      </w:r>
      <w:r>
        <w:rPr>
          <w:rFonts w:ascii="Times New Roman"/>
        </w:rPr>
        <w:t>规</w:t>
      </w:r>
      <w:r>
        <w:rPr>
          <w:rFonts w:hint="eastAsia"/>
        </w:rPr>
        <w:t>定</w:t>
      </w:r>
      <w:r>
        <w:t>。</w:t>
      </w:r>
    </w:p>
    <w:p>
      <w:pPr>
        <w:pStyle w:val="23"/>
        <w:spacing w:line="360" w:lineRule="auto"/>
        <w:rPr>
          <w:rFonts w:ascii="Times New Roman"/>
        </w:rPr>
      </w:pPr>
      <w:bookmarkStart w:id="24" w:name="OLE_LINK4"/>
      <w:bookmarkStart w:id="25" w:name="OLE_LINK5"/>
      <w:r>
        <w:rPr>
          <w:rFonts w:ascii="Times New Roman"/>
        </w:rPr>
        <w:t>——</w:t>
      </w:r>
      <w:r>
        <w:rPr>
          <w:rFonts w:hint="eastAsia" w:ascii="Times New Roman"/>
        </w:rPr>
        <w:t>运抵加工企业后，直至投料加工前，温度应控制在</w:t>
      </w:r>
      <w:r>
        <w:rPr>
          <w:rFonts w:ascii="Times New Roman"/>
        </w:rPr>
        <w:t>0</w:t>
      </w:r>
      <w:r>
        <w:rPr>
          <w:rFonts w:hint="eastAsia" w:ascii="Times New Roman"/>
        </w:rPr>
        <w:t>℃～</w:t>
      </w:r>
      <w:r>
        <w:rPr>
          <w:rFonts w:ascii="Times New Roman"/>
        </w:rPr>
        <w:t>6</w:t>
      </w:r>
      <w:r>
        <w:rPr>
          <w:rFonts w:hint="eastAsia" w:ascii="Times New Roman"/>
        </w:rPr>
        <w:t>℃</w:t>
      </w:r>
      <w:r>
        <w:rPr>
          <w:rFonts w:ascii="Times New Roman"/>
        </w:rPr>
        <w:t>。</w:t>
      </w:r>
    </w:p>
    <w:p>
      <w:pPr>
        <w:pStyle w:val="23"/>
        <w:spacing w:line="360" w:lineRule="auto"/>
        <w:rPr>
          <w:rFonts w:ascii="Times New Roman"/>
        </w:rPr>
      </w:pPr>
      <w:r>
        <w:rPr>
          <w:rFonts w:ascii="Times New Roman"/>
        </w:rPr>
        <w:t>——</w:t>
      </w:r>
      <w:r>
        <w:rPr>
          <w:rFonts w:hint="eastAsia" w:ascii="Times New Roman"/>
        </w:rPr>
        <w:t>运抵加工企业后，储存时间应控制在</w:t>
      </w:r>
      <w:r>
        <w:rPr>
          <w:rFonts w:ascii="Times New Roman"/>
        </w:rPr>
        <w:t xml:space="preserve">24 </w:t>
      </w:r>
      <w:r>
        <w:rPr>
          <w:rFonts w:hint="eastAsia" w:ascii="Times New Roman"/>
        </w:rPr>
        <w:t>h以内</w:t>
      </w:r>
      <w:r>
        <w:rPr>
          <w:rFonts w:ascii="Times New Roman"/>
        </w:rPr>
        <w:t>。</w:t>
      </w:r>
    </w:p>
    <w:bookmarkEnd w:id="24"/>
    <w:bookmarkEnd w:id="25"/>
    <w:p>
      <w:pPr>
        <w:pStyle w:val="43"/>
        <w:rPr>
          <w:rFonts w:hAnsi="黑体"/>
        </w:rPr>
      </w:pPr>
      <w:r>
        <w:rPr>
          <w:rFonts w:hint="eastAsia" w:hAnsi="黑体"/>
        </w:rPr>
        <w:t>过滤</w:t>
      </w:r>
    </w:p>
    <w:p>
      <w:pPr>
        <w:pStyle w:val="23"/>
        <w:spacing w:line="360" w:lineRule="auto"/>
      </w:pPr>
      <w:r>
        <w:rPr>
          <w:rFonts w:hint="eastAsia"/>
        </w:rPr>
        <w:t>可采用单联过滤或双联过滤，</w:t>
      </w:r>
      <w:r>
        <w:t>过滤网</w:t>
      </w:r>
      <w:r>
        <w:rPr>
          <w:rFonts w:hint="eastAsia"/>
        </w:rPr>
        <w:t>应选用</w:t>
      </w:r>
      <w:bookmarkStart w:id="26" w:name="_Hlk55326264"/>
      <w:r>
        <w:rPr>
          <w:rFonts w:ascii="Times New Roman"/>
        </w:rPr>
        <w:t>0.180 mm</w:t>
      </w:r>
      <w:r>
        <w:rPr>
          <w:rFonts w:hint="eastAsia" w:ascii="Times New Roman"/>
        </w:rPr>
        <w:t>（</w:t>
      </w:r>
      <w:r>
        <w:rPr>
          <w:rFonts w:ascii="Times New Roman"/>
        </w:rPr>
        <w:t>80</w:t>
      </w:r>
      <w:r>
        <w:rPr>
          <w:rFonts w:hint="eastAsia" w:ascii="Times New Roman"/>
        </w:rPr>
        <w:t>目）</w:t>
      </w:r>
      <w:bookmarkEnd w:id="26"/>
      <w:r>
        <w:t>以上的滤网</w:t>
      </w:r>
      <w:r>
        <w:rPr>
          <w:rFonts w:hint="eastAsia"/>
        </w:rPr>
        <w:t>，</w:t>
      </w:r>
      <w:r>
        <w:t>过滤网宜一辆运输车</w:t>
      </w:r>
      <w:r>
        <w:rPr>
          <w:rFonts w:hint="eastAsia"/>
        </w:rPr>
        <w:t>更换</w:t>
      </w:r>
      <w:r>
        <w:t>一次。</w:t>
      </w:r>
    </w:p>
    <w:p>
      <w:pPr>
        <w:pStyle w:val="43"/>
        <w:rPr>
          <w:rFonts w:hAnsi="黑体"/>
        </w:rPr>
      </w:pPr>
      <w:r>
        <w:rPr>
          <w:rFonts w:hint="eastAsia" w:hAnsi="黑体"/>
        </w:rPr>
        <w:t>暂存</w:t>
      </w:r>
    </w:p>
    <w:p>
      <w:pPr>
        <w:spacing w:line="360" w:lineRule="auto"/>
        <w:ind w:firstLine="420" w:firstLineChars="200"/>
        <w:rPr>
          <w:szCs w:val="21"/>
        </w:rPr>
      </w:pPr>
      <w:bookmarkStart w:id="27" w:name="_Hlk55326281"/>
      <w:r>
        <w:rPr>
          <w:rFonts w:hint="eastAsia"/>
          <w:szCs w:val="21"/>
        </w:rPr>
        <w:t>贮</w:t>
      </w:r>
      <w:r>
        <w:rPr>
          <w:szCs w:val="21"/>
        </w:rPr>
        <w:t>奶仓</w:t>
      </w:r>
      <w:r>
        <w:rPr>
          <w:rFonts w:hint="eastAsia"/>
          <w:szCs w:val="21"/>
        </w:rPr>
        <w:t>暂存</w:t>
      </w:r>
      <w:r>
        <w:rPr>
          <w:szCs w:val="21"/>
        </w:rPr>
        <w:t xml:space="preserve">温度应控制在0 </w:t>
      </w:r>
      <w:r>
        <w:rPr>
          <w:rFonts w:hint="eastAsia"/>
          <w:szCs w:val="21"/>
        </w:rPr>
        <w:t>℃～</w:t>
      </w:r>
      <w:r>
        <w:rPr>
          <w:szCs w:val="21"/>
        </w:rPr>
        <w:t xml:space="preserve">6 </w:t>
      </w:r>
      <w:r>
        <w:rPr>
          <w:rFonts w:hint="eastAsia"/>
          <w:szCs w:val="21"/>
        </w:rPr>
        <w:t>℃</w:t>
      </w:r>
      <w:r>
        <w:rPr>
          <w:szCs w:val="21"/>
        </w:rPr>
        <w:t>，</w:t>
      </w:r>
      <w:r>
        <w:rPr>
          <w:rFonts w:hint="eastAsia"/>
          <w:szCs w:val="21"/>
        </w:rPr>
        <w:t>暂存时间宜控制在8</w:t>
      </w:r>
      <w:r>
        <w:rPr>
          <w:szCs w:val="21"/>
        </w:rPr>
        <w:t xml:space="preserve"> </w:t>
      </w:r>
      <w:r>
        <w:rPr>
          <w:rFonts w:hint="eastAsia"/>
          <w:szCs w:val="21"/>
        </w:rPr>
        <w:t xml:space="preserve">h以内，宜每4 </w:t>
      </w:r>
      <w:r>
        <w:rPr>
          <w:szCs w:val="21"/>
        </w:rPr>
        <w:t>h进行酒精</w:t>
      </w:r>
      <w:r>
        <w:rPr>
          <w:rFonts w:hint="eastAsia"/>
          <w:szCs w:val="21"/>
        </w:rPr>
        <w:t>试验和</w:t>
      </w:r>
      <w:r>
        <w:rPr>
          <w:szCs w:val="21"/>
        </w:rPr>
        <w:t>酸度检测</w:t>
      </w:r>
      <w:r>
        <w:rPr>
          <w:rFonts w:hint="eastAsia"/>
          <w:szCs w:val="21"/>
        </w:rPr>
        <w:t>，</w:t>
      </w:r>
      <w:r>
        <w:rPr>
          <w:szCs w:val="21"/>
        </w:rPr>
        <w:t>不合格</w:t>
      </w:r>
      <w:r>
        <w:rPr>
          <w:rFonts w:hint="eastAsia"/>
          <w:szCs w:val="21"/>
        </w:rPr>
        <w:t>原料</w:t>
      </w:r>
      <w:r>
        <w:rPr>
          <w:szCs w:val="21"/>
        </w:rPr>
        <w:t>不</w:t>
      </w:r>
      <w:r>
        <w:rPr>
          <w:rFonts w:hint="eastAsia"/>
          <w:szCs w:val="21"/>
        </w:rPr>
        <w:t>应</w:t>
      </w:r>
      <w:r>
        <w:rPr>
          <w:szCs w:val="21"/>
        </w:rPr>
        <w:t>用于后续生产。</w:t>
      </w:r>
      <w:r>
        <w:rPr>
          <w:rFonts w:hint="eastAsia"/>
          <w:szCs w:val="21"/>
        </w:rPr>
        <w:t>标准化前</w:t>
      </w:r>
      <w:r>
        <w:rPr>
          <w:szCs w:val="21"/>
        </w:rPr>
        <w:t>，应进行</w:t>
      </w:r>
      <w:r>
        <w:rPr>
          <w:rFonts w:hint="eastAsia"/>
          <w:szCs w:val="21"/>
        </w:rPr>
        <w:t>生乳</w:t>
      </w:r>
      <w:r>
        <w:rPr>
          <w:szCs w:val="21"/>
        </w:rPr>
        <w:t>中菌落总数的检测</w:t>
      </w:r>
      <w:r>
        <w:rPr>
          <w:rFonts w:hint="eastAsia"/>
          <w:szCs w:val="21"/>
        </w:rPr>
        <w:t>，应符合G</w:t>
      </w:r>
      <w:r>
        <w:rPr>
          <w:szCs w:val="21"/>
        </w:rPr>
        <w:t>B 19301</w:t>
      </w:r>
      <w:r>
        <w:rPr>
          <w:rFonts w:hint="eastAsia"/>
          <w:szCs w:val="21"/>
        </w:rPr>
        <w:t>的规定。</w:t>
      </w:r>
    </w:p>
    <w:bookmarkEnd w:id="27"/>
    <w:p>
      <w:pPr>
        <w:pStyle w:val="43"/>
        <w:rPr>
          <w:rFonts w:hAnsi="黑体"/>
        </w:rPr>
      </w:pPr>
      <w:r>
        <w:rPr>
          <w:rFonts w:hint="eastAsia" w:hAnsi="黑体"/>
        </w:rPr>
        <w:t>净乳</w:t>
      </w:r>
    </w:p>
    <w:p>
      <w:pPr>
        <w:spacing w:before="50" w:after="50" w:line="360" w:lineRule="auto"/>
        <w:ind w:firstLine="420" w:firstLineChars="200"/>
        <w:rPr>
          <w:szCs w:val="21"/>
        </w:rPr>
      </w:pPr>
      <w:r>
        <w:rPr>
          <w:rFonts w:hint="eastAsia"/>
          <w:szCs w:val="21"/>
        </w:rPr>
        <w:t>净乳为可选择</w:t>
      </w:r>
      <w:r>
        <w:rPr>
          <w:szCs w:val="21"/>
        </w:rPr>
        <w:t>工序，</w:t>
      </w:r>
      <w:r>
        <w:rPr>
          <w:rFonts w:hint="eastAsia"/>
          <w:szCs w:val="21"/>
        </w:rPr>
        <w:t>宜</w:t>
      </w:r>
      <w:r>
        <w:rPr>
          <w:szCs w:val="21"/>
        </w:rPr>
        <w:t>选用商业化净乳机</w:t>
      </w:r>
      <w:r>
        <w:rPr>
          <w:rFonts w:hint="eastAsia"/>
          <w:szCs w:val="21"/>
        </w:rPr>
        <w:t>执行</w:t>
      </w:r>
      <w:r>
        <w:rPr>
          <w:szCs w:val="21"/>
        </w:rPr>
        <w:t>此工序。</w:t>
      </w:r>
    </w:p>
    <w:p>
      <w:pPr>
        <w:pStyle w:val="43"/>
        <w:rPr>
          <w:rFonts w:hAnsi="黑体"/>
        </w:rPr>
      </w:pPr>
      <w:r>
        <w:rPr>
          <w:rFonts w:hint="eastAsia" w:hAnsi="黑体"/>
        </w:rPr>
        <w:t>标准化</w:t>
      </w:r>
    </w:p>
    <w:p>
      <w:pPr>
        <w:spacing w:line="360" w:lineRule="auto"/>
        <w:rPr>
          <w:szCs w:val="21"/>
        </w:rPr>
      </w:pPr>
      <w:r>
        <w:rPr>
          <w:rFonts w:ascii="黑体" w:hAnsi="黑体" w:eastAsia="黑体"/>
          <w:kern w:val="0"/>
          <w:szCs w:val="21"/>
        </w:rPr>
        <w:t>5</w:t>
      </w:r>
      <w:r>
        <w:rPr>
          <w:rFonts w:hint="eastAsia" w:ascii="黑体" w:hAnsi="黑体" w:eastAsia="黑体"/>
          <w:kern w:val="0"/>
          <w:szCs w:val="21"/>
        </w:rPr>
        <w:t>.</w:t>
      </w:r>
      <w:r>
        <w:rPr>
          <w:rFonts w:ascii="黑体" w:hAnsi="黑体" w:eastAsia="黑体"/>
          <w:kern w:val="0"/>
          <w:szCs w:val="21"/>
        </w:rPr>
        <w:t>6</w:t>
      </w:r>
      <w:r>
        <w:rPr>
          <w:rFonts w:hint="eastAsia" w:ascii="黑体" w:hAnsi="黑体" w:eastAsia="黑体"/>
          <w:kern w:val="0"/>
          <w:szCs w:val="21"/>
        </w:rPr>
        <w:t>.1</w:t>
      </w:r>
      <w:r>
        <w:rPr>
          <w:rFonts w:ascii="黑体" w:hAnsi="黑体" w:eastAsia="黑体"/>
          <w:kern w:val="0"/>
          <w:szCs w:val="21"/>
        </w:rPr>
        <w:t xml:space="preserve"> </w:t>
      </w:r>
      <w:r>
        <w:rPr>
          <w:rFonts w:hint="eastAsia"/>
          <w:szCs w:val="21"/>
        </w:rPr>
        <w:t>标准化可选用脂肪标准化和蛋白质标准化。脂肪标准化可采用重力分离或离心分离设备，将奶分为“稀奶油”和“脱脂奶”两部分，</w:t>
      </w:r>
      <w:r>
        <w:rPr>
          <w:szCs w:val="21"/>
        </w:rPr>
        <w:t>然后</w:t>
      </w:r>
      <w:r>
        <w:rPr>
          <w:rFonts w:hint="eastAsia"/>
          <w:szCs w:val="21"/>
        </w:rPr>
        <w:t>用稀奶油或脱脂奶来调节奶的脂肪含量使其达到设定值。蛋白质标准化首先采用半透膜分离奶组分，以未变性的奶组分调节蛋白质含量使其达到设定值。</w:t>
      </w:r>
    </w:p>
    <w:p>
      <w:pPr>
        <w:spacing w:line="360" w:lineRule="auto"/>
        <w:rPr>
          <w:szCs w:val="21"/>
        </w:rPr>
      </w:pPr>
      <w:r>
        <w:rPr>
          <w:rFonts w:ascii="黑体" w:hAnsi="黑体" w:eastAsia="黑体"/>
          <w:kern w:val="0"/>
          <w:szCs w:val="21"/>
        </w:rPr>
        <w:t>5</w:t>
      </w:r>
      <w:r>
        <w:rPr>
          <w:rFonts w:hint="eastAsia" w:ascii="黑体" w:hAnsi="黑体" w:eastAsia="黑体"/>
          <w:kern w:val="0"/>
          <w:szCs w:val="21"/>
        </w:rPr>
        <w:t>.</w:t>
      </w:r>
      <w:r>
        <w:rPr>
          <w:rFonts w:ascii="黑体" w:hAnsi="黑体" w:eastAsia="黑体"/>
          <w:kern w:val="0"/>
          <w:szCs w:val="21"/>
        </w:rPr>
        <w:t>6</w:t>
      </w:r>
      <w:r>
        <w:rPr>
          <w:rFonts w:hint="eastAsia" w:ascii="黑体" w:hAnsi="黑体" w:eastAsia="黑体"/>
          <w:kern w:val="0"/>
          <w:szCs w:val="21"/>
        </w:rPr>
        <w:t>.</w:t>
      </w:r>
      <w:r>
        <w:rPr>
          <w:rFonts w:ascii="黑体" w:hAnsi="黑体" w:eastAsia="黑体"/>
          <w:kern w:val="0"/>
          <w:szCs w:val="21"/>
        </w:rPr>
        <w:t xml:space="preserve">2 </w:t>
      </w:r>
      <w:r>
        <w:rPr>
          <w:rFonts w:hint="eastAsia"/>
          <w:szCs w:val="21"/>
        </w:rPr>
        <w:t>启动</w:t>
      </w:r>
      <w:r>
        <w:rPr>
          <w:szCs w:val="21"/>
        </w:rPr>
        <w:t>巴氏杀菌程序后，奶顶水时间</w:t>
      </w:r>
      <w:r>
        <w:rPr>
          <w:rFonts w:hint="eastAsia"/>
          <w:szCs w:val="21"/>
        </w:rPr>
        <w:t>应</w:t>
      </w:r>
      <w:r>
        <w:rPr>
          <w:szCs w:val="21"/>
        </w:rPr>
        <w:t>根据管道</w:t>
      </w:r>
      <w:r>
        <w:rPr>
          <w:rFonts w:hint="eastAsia"/>
          <w:szCs w:val="21"/>
        </w:rPr>
        <w:t>实际长度和流速</w:t>
      </w:r>
      <w:r>
        <w:rPr>
          <w:szCs w:val="21"/>
        </w:rPr>
        <w:t>确定</w:t>
      </w:r>
      <w:r>
        <w:rPr>
          <w:rFonts w:hint="eastAsia"/>
          <w:szCs w:val="21"/>
        </w:rPr>
        <w:t>，</w:t>
      </w:r>
      <w:r>
        <w:rPr>
          <w:szCs w:val="21"/>
        </w:rPr>
        <w:t>确保管道中水完全排空。</w:t>
      </w:r>
    </w:p>
    <w:p>
      <w:pPr>
        <w:pStyle w:val="43"/>
        <w:rPr>
          <w:rFonts w:hAnsi="黑体"/>
        </w:rPr>
      </w:pPr>
      <w:r>
        <w:rPr>
          <w:rFonts w:hAnsi="黑体"/>
        </w:rPr>
        <w:t>均质</w:t>
      </w:r>
    </w:p>
    <w:p>
      <w:pPr>
        <w:spacing w:before="50" w:after="50" w:line="360" w:lineRule="auto"/>
        <w:ind w:firstLine="420" w:firstLineChars="200"/>
        <w:rPr>
          <w:szCs w:val="21"/>
        </w:rPr>
      </w:pPr>
      <w:r>
        <w:rPr>
          <w:rFonts w:hint="eastAsia"/>
          <w:szCs w:val="21"/>
        </w:rPr>
        <w:t>均质</w:t>
      </w:r>
      <w:r>
        <w:rPr>
          <w:szCs w:val="21"/>
        </w:rPr>
        <w:t>压力宜控制在</w:t>
      </w:r>
      <w:r>
        <w:rPr>
          <w:rFonts w:hint="eastAsia"/>
          <w:szCs w:val="21"/>
        </w:rPr>
        <w:t>18</w:t>
      </w:r>
      <w:r>
        <w:rPr>
          <w:szCs w:val="21"/>
        </w:rPr>
        <w:t xml:space="preserve"> </w:t>
      </w:r>
      <w:r>
        <w:rPr>
          <w:rFonts w:hint="eastAsia"/>
          <w:szCs w:val="21"/>
        </w:rPr>
        <w:t>M</w:t>
      </w:r>
      <w:r>
        <w:rPr>
          <w:szCs w:val="21"/>
        </w:rPr>
        <w:t>P</w:t>
      </w:r>
      <w:r>
        <w:rPr>
          <w:rFonts w:hint="eastAsia"/>
          <w:szCs w:val="21"/>
        </w:rPr>
        <w:t>a～2</w:t>
      </w:r>
      <w:r>
        <w:rPr>
          <w:szCs w:val="21"/>
        </w:rPr>
        <w:t>5</w:t>
      </w:r>
      <w:r>
        <w:rPr>
          <w:rFonts w:hint="eastAsia"/>
          <w:szCs w:val="21"/>
        </w:rPr>
        <w:t xml:space="preserve"> M</w:t>
      </w:r>
      <w:r>
        <w:rPr>
          <w:szCs w:val="21"/>
        </w:rPr>
        <w:t>P</w:t>
      </w:r>
      <w:r>
        <w:rPr>
          <w:rFonts w:hint="eastAsia"/>
          <w:szCs w:val="21"/>
        </w:rPr>
        <w:t>a，</w:t>
      </w:r>
      <w:r>
        <w:rPr>
          <w:szCs w:val="21"/>
        </w:rPr>
        <w:t>均质温度宜控制在55</w:t>
      </w:r>
      <w:r>
        <w:rPr>
          <w:rFonts w:hint="eastAsia"/>
          <w:szCs w:val="21"/>
        </w:rPr>
        <w:t>℃～6</w:t>
      </w:r>
      <w:r>
        <w:rPr>
          <w:szCs w:val="21"/>
        </w:rPr>
        <w:t>8</w:t>
      </w:r>
      <w:r>
        <w:rPr>
          <w:rFonts w:hint="eastAsia"/>
          <w:szCs w:val="21"/>
        </w:rPr>
        <w:t>℃。</w:t>
      </w:r>
    </w:p>
    <w:p>
      <w:pPr>
        <w:pStyle w:val="43"/>
        <w:rPr>
          <w:rFonts w:hAnsi="黑体"/>
        </w:rPr>
      </w:pPr>
      <w:r>
        <w:rPr>
          <w:rFonts w:hint="eastAsia" w:hAnsi="黑体"/>
        </w:rPr>
        <w:t>杀菌</w:t>
      </w:r>
    </w:p>
    <w:p>
      <w:pPr>
        <w:pStyle w:val="43"/>
        <w:numPr>
          <w:ilvl w:val="0"/>
          <w:numId w:val="0"/>
        </w:numPr>
        <w:rPr>
          <w:rFonts w:hAnsi="黑体"/>
        </w:rPr>
      </w:pPr>
      <w:r>
        <w:rPr>
          <w:rFonts w:hint="eastAsia" w:hAnsi="黑体"/>
        </w:rPr>
        <w:t>5</w:t>
      </w:r>
      <w:r>
        <w:rPr>
          <w:rFonts w:hAnsi="黑体"/>
        </w:rPr>
        <w:t xml:space="preserve">.8.1 </w:t>
      </w:r>
      <w:r>
        <w:rPr>
          <w:rFonts w:hint="eastAsia" w:hAnsi="黑体"/>
        </w:rPr>
        <w:t>杀菌强度</w:t>
      </w:r>
    </w:p>
    <w:p>
      <w:pPr>
        <w:spacing w:before="50" w:after="50" w:line="360" w:lineRule="auto"/>
        <w:ind w:firstLine="420" w:firstLineChars="200"/>
        <w:rPr>
          <w:szCs w:val="21"/>
        </w:rPr>
      </w:pPr>
      <w:r>
        <w:rPr>
          <w:rFonts w:hint="eastAsia"/>
          <w:szCs w:val="21"/>
        </w:rPr>
        <w:t>应符合附录A的要求，杀菌温度不低于对应的温度、杀菌时间不短于对应的时间。</w:t>
      </w:r>
    </w:p>
    <w:p>
      <w:pPr>
        <w:pStyle w:val="43"/>
        <w:numPr>
          <w:ilvl w:val="0"/>
          <w:numId w:val="0"/>
        </w:numPr>
        <w:rPr>
          <w:rFonts w:hAnsi="黑体"/>
        </w:rPr>
      </w:pPr>
      <w:r>
        <w:rPr>
          <w:rFonts w:hint="eastAsia" w:hAnsi="黑体"/>
        </w:rPr>
        <w:t>5</w:t>
      </w:r>
      <w:r>
        <w:rPr>
          <w:rFonts w:hAnsi="黑体"/>
        </w:rPr>
        <w:t xml:space="preserve">.8.2 </w:t>
      </w:r>
      <w:r>
        <w:rPr>
          <w:rFonts w:hint="eastAsia" w:hAnsi="黑体"/>
        </w:rPr>
        <w:t>设备稳定性</w:t>
      </w:r>
    </w:p>
    <w:p>
      <w:pPr>
        <w:widowControl/>
        <w:tabs>
          <w:tab w:val="center" w:pos="4201"/>
          <w:tab w:val="right" w:leader="dot" w:pos="9298"/>
        </w:tabs>
        <w:autoSpaceDE w:val="0"/>
        <w:autoSpaceDN w:val="0"/>
        <w:spacing w:line="360" w:lineRule="auto"/>
        <w:rPr>
          <w:kern w:val="0"/>
          <w:szCs w:val="20"/>
        </w:rPr>
      </w:pPr>
      <w:r>
        <w:rPr>
          <w:rFonts w:ascii="黑体" w:hAnsi="黑体" w:eastAsia="黑体"/>
          <w:kern w:val="0"/>
          <w:szCs w:val="21"/>
        </w:rPr>
        <w:t>5.8.2.1</w:t>
      </w:r>
      <w:r>
        <w:rPr>
          <w:kern w:val="0"/>
          <w:szCs w:val="20"/>
        </w:rPr>
        <w:t xml:space="preserve"> </w:t>
      </w:r>
      <w:r>
        <w:rPr>
          <w:rFonts w:hint="eastAsia"/>
          <w:kern w:val="0"/>
          <w:szCs w:val="20"/>
        </w:rPr>
        <w:t>安装时需进行</w:t>
      </w:r>
      <w:r>
        <w:rPr>
          <w:kern w:val="0"/>
          <w:szCs w:val="20"/>
        </w:rPr>
        <w:t>杀菌温度</w:t>
      </w:r>
      <w:r>
        <w:rPr>
          <w:rFonts w:hint="eastAsia"/>
          <w:kern w:val="0"/>
          <w:szCs w:val="20"/>
        </w:rPr>
        <w:t>、</w:t>
      </w:r>
      <w:r>
        <w:rPr>
          <w:kern w:val="0"/>
          <w:szCs w:val="20"/>
        </w:rPr>
        <w:t>保持温度和保持时间的测试</w:t>
      </w:r>
      <w:r>
        <w:rPr>
          <w:rFonts w:hint="eastAsia"/>
          <w:kern w:val="0"/>
          <w:szCs w:val="20"/>
        </w:rPr>
        <w:t>，安装后至少每三个月测试一次。</w:t>
      </w:r>
    </w:p>
    <w:p>
      <w:pPr>
        <w:widowControl/>
        <w:tabs>
          <w:tab w:val="center" w:pos="4201"/>
          <w:tab w:val="right" w:leader="dot" w:pos="9298"/>
        </w:tabs>
        <w:autoSpaceDE w:val="0"/>
        <w:autoSpaceDN w:val="0"/>
        <w:spacing w:line="360" w:lineRule="auto"/>
        <w:rPr>
          <w:kern w:val="0"/>
          <w:szCs w:val="20"/>
        </w:rPr>
      </w:pPr>
      <w:r>
        <w:rPr>
          <w:rFonts w:ascii="黑体" w:hAnsi="黑体" w:eastAsia="黑体"/>
          <w:kern w:val="0"/>
          <w:szCs w:val="21"/>
        </w:rPr>
        <w:t xml:space="preserve">5.8.2.2 </w:t>
      </w:r>
      <w:r>
        <w:rPr>
          <w:rFonts w:hint="eastAsia"/>
          <w:kern w:val="0"/>
          <w:szCs w:val="20"/>
        </w:rPr>
        <w:t>杀菌温度和</w:t>
      </w:r>
      <w:r>
        <w:rPr>
          <w:kern w:val="0"/>
          <w:szCs w:val="20"/>
        </w:rPr>
        <w:t>保持</w:t>
      </w:r>
      <w:r>
        <w:rPr>
          <w:rFonts w:hint="eastAsia"/>
          <w:kern w:val="0"/>
          <w:szCs w:val="20"/>
        </w:rPr>
        <w:t>温度波动的绝对偏差为±</w:t>
      </w:r>
      <w:r>
        <w:rPr>
          <w:kern w:val="0"/>
          <w:szCs w:val="20"/>
        </w:rPr>
        <w:t>0.25</w:t>
      </w:r>
      <w:r>
        <w:rPr>
          <w:rFonts w:hint="eastAsia"/>
          <w:kern w:val="0"/>
          <w:szCs w:val="20"/>
        </w:rPr>
        <w:t xml:space="preserve">℃，保持时间波动的相对偏差为+0.3%。 </w:t>
      </w:r>
    </w:p>
    <w:p>
      <w:pPr>
        <w:pStyle w:val="43"/>
        <w:numPr>
          <w:ilvl w:val="0"/>
          <w:numId w:val="0"/>
        </w:numPr>
        <w:spacing w:line="360" w:lineRule="auto"/>
        <w:rPr>
          <w:rFonts w:hAnsi="黑体"/>
        </w:rPr>
      </w:pPr>
      <w:r>
        <w:rPr>
          <w:rFonts w:hint="eastAsia" w:hAnsi="黑体"/>
        </w:rPr>
        <w:t>5</w:t>
      </w:r>
      <w:r>
        <w:rPr>
          <w:rFonts w:hAnsi="黑体"/>
        </w:rPr>
        <w:t>.8.3</w:t>
      </w:r>
      <w:r>
        <w:rPr>
          <w:rFonts w:hint="eastAsia" w:hAnsi="黑体"/>
        </w:rPr>
        <w:t>温度时间对应的工艺曲线图</w:t>
      </w:r>
    </w:p>
    <w:p>
      <w:pPr>
        <w:widowControl/>
        <w:tabs>
          <w:tab w:val="center" w:pos="4201"/>
          <w:tab w:val="right" w:leader="dot" w:pos="9298"/>
        </w:tabs>
        <w:autoSpaceDE w:val="0"/>
        <w:autoSpaceDN w:val="0"/>
        <w:spacing w:line="360" w:lineRule="auto"/>
        <w:ind w:firstLine="420" w:firstLineChars="200"/>
        <w:rPr>
          <w:kern w:val="0"/>
          <w:szCs w:val="20"/>
        </w:rPr>
      </w:pPr>
      <w:bookmarkStart w:id="28" w:name="_Hlk86654899"/>
      <w:r>
        <w:t>——</w:t>
      </w:r>
      <w:r>
        <w:rPr>
          <w:rFonts w:hint="eastAsia"/>
          <w:kern w:val="0"/>
          <w:szCs w:val="20"/>
        </w:rPr>
        <w:t>新</w:t>
      </w:r>
      <w:r>
        <w:rPr>
          <w:kern w:val="0"/>
          <w:szCs w:val="20"/>
        </w:rPr>
        <w:t>设备、新工艺或设备大修改造时，应</w:t>
      </w:r>
      <w:r>
        <w:rPr>
          <w:rFonts w:hint="eastAsia"/>
          <w:kern w:val="0"/>
          <w:szCs w:val="20"/>
        </w:rPr>
        <w:t>制作时间温度对应的工艺曲线图，横坐标为时间（单位</w:t>
      </w:r>
      <w:r>
        <w:rPr>
          <w:kern w:val="0"/>
          <w:szCs w:val="20"/>
        </w:rPr>
        <w:t>为s</w:t>
      </w:r>
      <w:r>
        <w:rPr>
          <w:rFonts w:hint="eastAsia"/>
          <w:kern w:val="0"/>
          <w:szCs w:val="20"/>
        </w:rPr>
        <w:t>）</w:t>
      </w:r>
      <w:r>
        <w:rPr>
          <w:kern w:val="0"/>
          <w:szCs w:val="20"/>
        </w:rPr>
        <w:t>，纵坐标为</w:t>
      </w:r>
      <w:r>
        <w:rPr>
          <w:rFonts w:hint="eastAsia"/>
          <w:kern w:val="0"/>
          <w:szCs w:val="20"/>
        </w:rPr>
        <w:t>温度（单位</w:t>
      </w:r>
      <w:r>
        <w:rPr>
          <w:kern w:val="0"/>
          <w:szCs w:val="20"/>
        </w:rPr>
        <w:t>为</w:t>
      </w:r>
      <w:r>
        <w:rPr>
          <w:rFonts w:hint="eastAsia"/>
          <w:kern w:val="0"/>
          <w:szCs w:val="20"/>
        </w:rPr>
        <w:t>℃）。</w:t>
      </w:r>
    </w:p>
    <w:p>
      <w:pPr>
        <w:widowControl/>
        <w:tabs>
          <w:tab w:val="center" w:pos="4201"/>
          <w:tab w:val="right" w:leader="dot" w:pos="9298"/>
        </w:tabs>
        <w:autoSpaceDE w:val="0"/>
        <w:autoSpaceDN w:val="0"/>
        <w:spacing w:line="360" w:lineRule="auto"/>
        <w:ind w:firstLine="420" w:firstLineChars="200"/>
        <w:rPr>
          <w:color w:val="5B9BD5"/>
          <w:kern w:val="0"/>
          <w:szCs w:val="20"/>
        </w:rPr>
      </w:pPr>
      <w:r>
        <w:t>——</w:t>
      </w:r>
      <w:r>
        <w:rPr>
          <w:rFonts w:hint="eastAsia"/>
          <w:szCs w:val="21"/>
        </w:rPr>
        <w:t>工艺曲线图</w:t>
      </w:r>
      <w:r>
        <w:rPr>
          <w:szCs w:val="21"/>
        </w:rPr>
        <w:t>，</w:t>
      </w:r>
      <w:r>
        <w:rPr>
          <w:kern w:val="0"/>
          <w:szCs w:val="20"/>
        </w:rPr>
        <w:t>应从投料加工时</w:t>
      </w:r>
      <w:r>
        <w:rPr>
          <w:rFonts w:hint="eastAsia"/>
          <w:kern w:val="0"/>
          <w:szCs w:val="20"/>
        </w:rPr>
        <w:t>开始绘制</w:t>
      </w:r>
      <w:r>
        <w:rPr>
          <w:kern w:val="0"/>
          <w:szCs w:val="20"/>
        </w:rPr>
        <w:t>，每一次</w:t>
      </w:r>
      <w:r>
        <w:rPr>
          <w:rFonts w:hint="eastAsia"/>
          <w:kern w:val="0"/>
          <w:szCs w:val="20"/>
        </w:rPr>
        <w:t>升温</w:t>
      </w:r>
      <w:r>
        <w:rPr>
          <w:kern w:val="0"/>
          <w:szCs w:val="20"/>
        </w:rPr>
        <w:t>和降温的</w:t>
      </w:r>
      <w:r>
        <w:rPr>
          <w:rFonts w:hint="eastAsia"/>
          <w:kern w:val="0"/>
          <w:szCs w:val="20"/>
        </w:rPr>
        <w:t>热交换</w:t>
      </w:r>
      <w:r>
        <w:rPr>
          <w:kern w:val="0"/>
          <w:szCs w:val="20"/>
        </w:rPr>
        <w:t>，</w:t>
      </w:r>
      <w:r>
        <w:rPr>
          <w:rFonts w:hint="eastAsia"/>
          <w:kern w:val="0"/>
          <w:szCs w:val="20"/>
        </w:rPr>
        <w:t>都应标注热交换后达到的温度和所需的时间，见附录B</w:t>
      </w:r>
      <w:r>
        <w:rPr>
          <w:kern w:val="0"/>
          <w:szCs w:val="20"/>
        </w:rPr>
        <w:t>。</w:t>
      </w:r>
    </w:p>
    <w:bookmarkEnd w:id="28"/>
    <w:p>
      <w:pPr>
        <w:pStyle w:val="43"/>
        <w:rPr>
          <w:rFonts w:hAnsi="黑体"/>
        </w:rPr>
      </w:pPr>
      <w:r>
        <w:rPr>
          <w:rFonts w:hint="eastAsia" w:hAnsi="黑体"/>
        </w:rPr>
        <w:t>冷却</w:t>
      </w:r>
    </w:p>
    <w:p>
      <w:pPr>
        <w:spacing w:before="50" w:after="50" w:line="360" w:lineRule="auto"/>
        <w:ind w:firstLine="420" w:firstLineChars="200"/>
        <w:rPr>
          <w:szCs w:val="21"/>
        </w:rPr>
      </w:pPr>
      <w:bookmarkStart w:id="29" w:name="_Hlk86655075"/>
      <w:r>
        <w:rPr>
          <w:rFonts w:hint="eastAsia"/>
          <w:szCs w:val="21"/>
        </w:rPr>
        <w:t>物料</w:t>
      </w:r>
      <w:r>
        <w:rPr>
          <w:szCs w:val="21"/>
        </w:rPr>
        <w:t>出口温度</w:t>
      </w:r>
      <w:r>
        <w:rPr>
          <w:rFonts w:hint="eastAsia"/>
          <w:szCs w:val="21"/>
        </w:rPr>
        <w:t>应</w:t>
      </w:r>
      <w:r>
        <w:rPr>
          <w:szCs w:val="21"/>
        </w:rPr>
        <w:t>控制在6</w:t>
      </w:r>
      <w:r>
        <w:rPr>
          <w:rFonts w:hint="eastAsia"/>
          <w:szCs w:val="21"/>
        </w:rPr>
        <w:t>℃以下。</w:t>
      </w:r>
    </w:p>
    <w:bookmarkEnd w:id="29"/>
    <w:p>
      <w:pPr>
        <w:pStyle w:val="43"/>
        <w:rPr>
          <w:rFonts w:hAnsi="黑体"/>
        </w:rPr>
      </w:pPr>
      <w:r>
        <w:rPr>
          <w:rFonts w:hint="eastAsia" w:hAnsi="黑体"/>
        </w:rPr>
        <w:t>半成品储存</w:t>
      </w:r>
    </w:p>
    <w:p>
      <w:pPr>
        <w:spacing w:before="50" w:after="50" w:line="360" w:lineRule="auto"/>
        <w:ind w:firstLine="420" w:firstLineChars="200"/>
        <w:rPr>
          <w:szCs w:val="21"/>
        </w:rPr>
      </w:pPr>
      <w:r>
        <w:rPr>
          <w:rFonts w:hint="eastAsia"/>
          <w:szCs w:val="21"/>
        </w:rPr>
        <w:t>半成品</w:t>
      </w:r>
      <w:r>
        <w:rPr>
          <w:szCs w:val="21"/>
        </w:rPr>
        <w:t>储存温度应控制在</w:t>
      </w:r>
      <w:r>
        <w:rPr>
          <w:kern w:val="0"/>
          <w:szCs w:val="20"/>
        </w:rPr>
        <w:t>0</w:t>
      </w:r>
      <w:r>
        <w:rPr>
          <w:rFonts w:hint="eastAsia"/>
          <w:kern w:val="0"/>
          <w:szCs w:val="20"/>
        </w:rPr>
        <w:t>℃～</w:t>
      </w:r>
      <w:r>
        <w:rPr>
          <w:kern w:val="0"/>
          <w:szCs w:val="20"/>
        </w:rPr>
        <w:t>6</w:t>
      </w:r>
      <w:r>
        <w:rPr>
          <w:rFonts w:hint="eastAsia"/>
          <w:kern w:val="0"/>
          <w:szCs w:val="20"/>
        </w:rPr>
        <w:t>℃</w:t>
      </w:r>
      <w:r>
        <w:rPr>
          <w:rFonts w:hint="eastAsia"/>
          <w:szCs w:val="21"/>
        </w:rPr>
        <w:t>，</w:t>
      </w:r>
      <w:r>
        <w:rPr>
          <w:szCs w:val="21"/>
        </w:rPr>
        <w:t>储存时间</w:t>
      </w:r>
      <w:r>
        <w:rPr>
          <w:rFonts w:hint="eastAsia"/>
          <w:szCs w:val="21"/>
        </w:rPr>
        <w:t>宜</w:t>
      </w:r>
      <w:r>
        <w:rPr>
          <w:szCs w:val="21"/>
        </w:rPr>
        <w:t>小于12 h</w:t>
      </w:r>
      <w:r>
        <w:rPr>
          <w:rFonts w:hint="eastAsia"/>
          <w:szCs w:val="21"/>
        </w:rPr>
        <w:t>。</w:t>
      </w:r>
    </w:p>
    <w:p>
      <w:pPr>
        <w:pStyle w:val="43"/>
        <w:rPr>
          <w:rFonts w:hAnsi="黑体"/>
        </w:rPr>
      </w:pPr>
      <w:r>
        <w:rPr>
          <w:rFonts w:hint="eastAsia" w:hAnsi="黑体"/>
        </w:rPr>
        <w:t>灌装</w:t>
      </w:r>
    </w:p>
    <w:p>
      <w:pPr>
        <w:spacing w:line="360" w:lineRule="auto"/>
        <w:rPr>
          <w:rFonts w:ascii="宋体" w:hAnsi="宋体"/>
          <w:kern w:val="0"/>
          <w:szCs w:val="21"/>
        </w:rPr>
      </w:pPr>
      <w:bookmarkStart w:id="30" w:name="_Hlk55326474"/>
      <w:r>
        <w:rPr>
          <w:rFonts w:ascii="黑体" w:hAnsi="黑体" w:eastAsia="黑体"/>
          <w:kern w:val="0"/>
          <w:szCs w:val="21"/>
        </w:rPr>
        <w:t>5.11.1</w:t>
      </w:r>
      <w:r>
        <w:rPr>
          <w:rFonts w:ascii="宋体" w:hAnsi="宋体"/>
          <w:kern w:val="0"/>
          <w:szCs w:val="21"/>
        </w:rPr>
        <w:t xml:space="preserve"> </w:t>
      </w:r>
      <w:r>
        <w:rPr>
          <w:rFonts w:hint="eastAsia" w:ascii="宋体" w:hAnsi="宋体"/>
          <w:kern w:val="0"/>
          <w:szCs w:val="21"/>
        </w:rPr>
        <w:t>包装材料应符</w:t>
      </w:r>
      <w:r>
        <w:rPr>
          <w:rFonts w:hint="eastAsia"/>
          <w:kern w:val="0"/>
          <w:szCs w:val="21"/>
        </w:rPr>
        <w:t>合</w:t>
      </w:r>
      <w:r>
        <w:rPr>
          <w:kern w:val="0"/>
          <w:szCs w:val="21"/>
        </w:rPr>
        <w:t>GB/T 28118</w:t>
      </w:r>
      <w:r>
        <w:rPr>
          <w:rFonts w:hint="eastAsia" w:ascii="宋体" w:hAnsi="宋体"/>
          <w:kern w:val="0"/>
          <w:szCs w:val="21"/>
        </w:rPr>
        <w:t>等标准的规定。</w:t>
      </w:r>
    </w:p>
    <w:p>
      <w:pPr>
        <w:spacing w:line="360" w:lineRule="auto"/>
        <w:rPr>
          <w:rFonts w:ascii="宋体" w:hAnsi="宋体"/>
          <w:kern w:val="0"/>
          <w:szCs w:val="21"/>
        </w:rPr>
      </w:pPr>
      <w:r>
        <w:rPr>
          <w:rFonts w:ascii="黑体" w:hAnsi="黑体" w:eastAsia="黑体"/>
          <w:kern w:val="0"/>
          <w:szCs w:val="21"/>
        </w:rPr>
        <w:t>5.11.2</w:t>
      </w:r>
      <w:r>
        <w:rPr>
          <w:rFonts w:ascii="宋体" w:hAnsi="宋体"/>
          <w:kern w:val="0"/>
          <w:szCs w:val="21"/>
        </w:rPr>
        <w:t xml:space="preserve"> </w:t>
      </w:r>
      <w:r>
        <w:rPr>
          <w:rFonts w:hint="eastAsia" w:ascii="宋体" w:hAnsi="宋体"/>
          <w:kern w:val="0"/>
          <w:szCs w:val="21"/>
        </w:rPr>
        <w:t>包装设备应符合</w:t>
      </w:r>
      <w:r>
        <w:rPr>
          <w:kern w:val="0"/>
          <w:szCs w:val="21"/>
        </w:rPr>
        <w:t>GB/T 19063</w:t>
      </w:r>
      <w:r>
        <w:rPr>
          <w:rFonts w:hint="eastAsia" w:ascii="宋体" w:hAnsi="宋体"/>
          <w:kern w:val="0"/>
          <w:szCs w:val="21"/>
        </w:rPr>
        <w:t>的规定。</w:t>
      </w:r>
    </w:p>
    <w:bookmarkEnd w:id="30"/>
    <w:p>
      <w:pPr>
        <w:spacing w:line="360" w:lineRule="auto"/>
        <w:rPr>
          <w:rFonts w:ascii="宋体" w:hAnsi="宋体"/>
          <w:kern w:val="0"/>
          <w:szCs w:val="21"/>
        </w:rPr>
      </w:pPr>
      <w:r>
        <w:rPr>
          <w:rFonts w:ascii="黑体" w:hAnsi="黑体" w:eastAsia="黑体"/>
          <w:kern w:val="0"/>
          <w:szCs w:val="21"/>
        </w:rPr>
        <w:t>5.11.3</w:t>
      </w:r>
      <w:r>
        <w:rPr>
          <w:rFonts w:ascii="宋体" w:hAnsi="宋体"/>
          <w:kern w:val="0"/>
          <w:szCs w:val="21"/>
        </w:rPr>
        <w:t xml:space="preserve"> </w:t>
      </w:r>
      <w:r>
        <w:rPr>
          <w:rFonts w:hint="eastAsia" w:ascii="宋体" w:hAnsi="宋体"/>
          <w:kern w:val="0"/>
          <w:szCs w:val="21"/>
        </w:rPr>
        <w:t>杀菌后的</w:t>
      </w:r>
      <w:r>
        <w:rPr>
          <w:rFonts w:ascii="宋体" w:hAnsi="宋体"/>
          <w:kern w:val="0"/>
          <w:szCs w:val="21"/>
        </w:rPr>
        <w:t>巴氏杀菌</w:t>
      </w:r>
      <w:r>
        <w:rPr>
          <w:rFonts w:hint="eastAsia" w:ascii="宋体" w:hAnsi="宋体"/>
          <w:kern w:val="0"/>
          <w:szCs w:val="21"/>
        </w:rPr>
        <w:t>乳可洁净灌装。</w:t>
      </w:r>
    </w:p>
    <w:p>
      <w:pPr>
        <w:spacing w:line="360" w:lineRule="auto"/>
        <w:rPr>
          <w:rFonts w:asciiTheme="minorEastAsia" w:hAnsiTheme="minorEastAsia" w:eastAsiaTheme="minorEastAsia"/>
          <w:szCs w:val="21"/>
        </w:rPr>
      </w:pPr>
      <w:r>
        <w:rPr>
          <w:rFonts w:ascii="黑体" w:hAnsi="黑体" w:eastAsia="黑体"/>
          <w:kern w:val="0"/>
          <w:szCs w:val="21"/>
        </w:rPr>
        <w:t>5.11.4</w:t>
      </w:r>
      <w:r>
        <w:rPr>
          <w:rFonts w:asciiTheme="minorEastAsia" w:hAnsiTheme="minorEastAsia" w:eastAsiaTheme="minorEastAsia"/>
          <w:kern w:val="0"/>
          <w:szCs w:val="21"/>
        </w:rPr>
        <w:t xml:space="preserve"> </w:t>
      </w:r>
      <w:r>
        <w:rPr>
          <w:rFonts w:hint="eastAsia" w:asciiTheme="minorEastAsia" w:hAnsiTheme="minorEastAsia" w:eastAsiaTheme="minorEastAsia"/>
          <w:szCs w:val="21"/>
        </w:rPr>
        <w:t>启动</w:t>
      </w:r>
      <w:r>
        <w:rPr>
          <w:rFonts w:asciiTheme="minorEastAsia" w:hAnsiTheme="minorEastAsia" w:eastAsiaTheme="minorEastAsia"/>
          <w:szCs w:val="21"/>
        </w:rPr>
        <w:t>灌装机前，应确保灌装设备已经消毒合格</w:t>
      </w:r>
      <w:r>
        <w:rPr>
          <w:rFonts w:hint="eastAsia" w:asciiTheme="minorEastAsia" w:hAnsiTheme="minorEastAsia" w:eastAsiaTheme="minorEastAsia"/>
          <w:szCs w:val="21"/>
        </w:rPr>
        <w:t>。</w:t>
      </w:r>
    </w:p>
    <w:p>
      <w:pPr>
        <w:spacing w:line="360" w:lineRule="auto"/>
        <w:rPr>
          <w:szCs w:val="21"/>
        </w:rPr>
      </w:pPr>
      <w:r>
        <w:rPr>
          <w:rFonts w:ascii="黑体" w:hAnsi="黑体" w:eastAsia="黑体"/>
          <w:kern w:val="0"/>
          <w:szCs w:val="21"/>
        </w:rPr>
        <w:t>5.11.5</w:t>
      </w:r>
      <w:r>
        <w:rPr>
          <w:rFonts w:asciiTheme="minorEastAsia" w:hAnsiTheme="minorEastAsia" w:eastAsiaTheme="minorEastAsia"/>
          <w:kern w:val="0"/>
          <w:szCs w:val="21"/>
        </w:rPr>
        <w:t xml:space="preserve"> </w:t>
      </w:r>
      <w:r>
        <w:rPr>
          <w:rFonts w:hint="eastAsia"/>
          <w:szCs w:val="21"/>
        </w:rPr>
        <w:t>启动灌装机</w:t>
      </w:r>
      <w:r>
        <w:rPr>
          <w:szCs w:val="21"/>
        </w:rPr>
        <w:t>后，奶顶水时间</w:t>
      </w:r>
      <w:r>
        <w:rPr>
          <w:rFonts w:hint="eastAsia"/>
          <w:szCs w:val="21"/>
        </w:rPr>
        <w:t>应</w:t>
      </w:r>
      <w:r>
        <w:rPr>
          <w:szCs w:val="21"/>
        </w:rPr>
        <w:t>根据管道</w:t>
      </w:r>
      <w:r>
        <w:rPr>
          <w:rFonts w:hint="eastAsia"/>
          <w:szCs w:val="21"/>
        </w:rPr>
        <w:t>实际长度和流速</w:t>
      </w:r>
      <w:r>
        <w:rPr>
          <w:szCs w:val="21"/>
        </w:rPr>
        <w:t>确定</w:t>
      </w:r>
      <w:r>
        <w:rPr>
          <w:rFonts w:hint="eastAsia"/>
          <w:szCs w:val="21"/>
        </w:rPr>
        <w:t>，</w:t>
      </w:r>
      <w:r>
        <w:rPr>
          <w:szCs w:val="21"/>
        </w:rPr>
        <w:t>应确保管道中水完全排空。</w:t>
      </w:r>
    </w:p>
    <w:p>
      <w:pPr>
        <w:pStyle w:val="43"/>
        <w:rPr>
          <w:rFonts w:hAnsi="黑体"/>
        </w:rPr>
      </w:pPr>
      <w:r>
        <w:rPr>
          <w:rFonts w:hint="eastAsia" w:hAnsi="黑体"/>
        </w:rPr>
        <w:t>冷藏</w:t>
      </w:r>
    </w:p>
    <w:p>
      <w:pPr>
        <w:spacing w:before="50" w:after="50" w:line="360" w:lineRule="auto"/>
        <w:ind w:firstLine="420" w:firstLineChars="200"/>
        <w:rPr>
          <w:szCs w:val="21"/>
        </w:rPr>
      </w:pPr>
      <w:r>
        <w:rPr>
          <w:rFonts w:hint="eastAsia"/>
          <w:szCs w:val="21"/>
        </w:rPr>
        <w:t>产品灌装</w:t>
      </w:r>
      <w:r>
        <w:rPr>
          <w:szCs w:val="21"/>
        </w:rPr>
        <w:t>下线后</w:t>
      </w:r>
      <w:r>
        <w:rPr>
          <w:rFonts w:hint="eastAsia"/>
          <w:szCs w:val="21"/>
        </w:rPr>
        <w:t>，宜</w:t>
      </w:r>
      <w:r>
        <w:rPr>
          <w:szCs w:val="21"/>
        </w:rPr>
        <w:t>在</w:t>
      </w:r>
      <w:r>
        <w:rPr>
          <w:rFonts w:hint="eastAsia"/>
          <w:szCs w:val="21"/>
        </w:rPr>
        <w:t xml:space="preserve">30 </w:t>
      </w:r>
      <w:r>
        <w:rPr>
          <w:szCs w:val="21"/>
        </w:rPr>
        <w:t>min内运到冷库储存</w:t>
      </w:r>
      <w:r>
        <w:rPr>
          <w:rFonts w:hint="eastAsia"/>
          <w:szCs w:val="21"/>
        </w:rPr>
        <w:t>，冷库温度应控制在</w:t>
      </w:r>
      <w:r>
        <w:rPr>
          <w:szCs w:val="21"/>
        </w:rPr>
        <w:t>0</w:t>
      </w:r>
      <w:r>
        <w:rPr>
          <w:rFonts w:hint="eastAsia"/>
          <w:szCs w:val="21"/>
        </w:rPr>
        <w:t>℃～</w:t>
      </w:r>
      <w:r>
        <w:rPr>
          <w:szCs w:val="21"/>
        </w:rPr>
        <w:t>6</w:t>
      </w:r>
      <w:r>
        <w:rPr>
          <w:rFonts w:hint="eastAsia"/>
          <w:szCs w:val="21"/>
        </w:rPr>
        <w:t>℃</w:t>
      </w:r>
      <w:r>
        <w:rPr>
          <w:szCs w:val="21"/>
        </w:rPr>
        <w:t>。</w:t>
      </w:r>
    </w:p>
    <w:p>
      <w:pPr>
        <w:pStyle w:val="43"/>
        <w:rPr>
          <w:rFonts w:hAnsi="黑体"/>
        </w:rPr>
      </w:pPr>
      <w:r>
        <w:rPr>
          <w:rFonts w:hint="eastAsia" w:hAnsi="黑体"/>
        </w:rPr>
        <w:t>成品的合格放行</w:t>
      </w:r>
    </w:p>
    <w:p>
      <w:pPr>
        <w:spacing w:before="50" w:after="50" w:line="360" w:lineRule="auto"/>
        <w:ind w:firstLine="420" w:firstLineChars="200"/>
        <w:rPr>
          <w:szCs w:val="21"/>
        </w:rPr>
      </w:pPr>
      <w:bookmarkStart w:id="31" w:name="_Hlk86658174"/>
      <w:r>
        <w:rPr>
          <w:rFonts w:hint="eastAsia"/>
          <w:szCs w:val="21"/>
        </w:rPr>
        <w:t>成品各项</w:t>
      </w:r>
      <w:r>
        <w:rPr>
          <w:szCs w:val="21"/>
        </w:rPr>
        <w:t>技术指标应符合GB 19645</w:t>
      </w:r>
      <w:r>
        <w:rPr>
          <w:rFonts w:hint="eastAsia"/>
          <w:szCs w:val="21"/>
        </w:rPr>
        <w:t>的规定</w:t>
      </w:r>
      <w:r>
        <w:rPr>
          <w:szCs w:val="21"/>
        </w:rPr>
        <w:t>，</w:t>
      </w:r>
      <w:r>
        <w:rPr>
          <w:rFonts w:hint="eastAsia"/>
          <w:szCs w:val="21"/>
        </w:rPr>
        <w:t>经检验合格，</w:t>
      </w:r>
      <w:r>
        <w:rPr>
          <w:szCs w:val="21"/>
        </w:rPr>
        <w:t>方可出厂。</w:t>
      </w:r>
    </w:p>
    <w:bookmarkEnd w:id="31"/>
    <w:p>
      <w:pPr>
        <w:pStyle w:val="23"/>
        <w:sectPr>
          <w:footerReference r:id="rId7" w:type="default"/>
          <w:pgSz w:w="11906" w:h="16838"/>
          <w:pgMar w:top="567" w:right="1134" w:bottom="1134" w:left="1418" w:header="1418" w:footer="1134" w:gutter="0"/>
          <w:cols w:space="425" w:num="1"/>
          <w:formProt w:val="0"/>
          <w:docGrid w:type="lines" w:linePitch="312" w:charSpace="0"/>
        </w:sectPr>
      </w:pP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附</w:t>
      </w:r>
      <w:r>
        <w:rPr>
          <w:rFonts w:ascii="Times New Roman" w:hAnsi="Times New Roman" w:eastAsia="黑体"/>
        </w:rPr>
        <w:t xml:space="preserve"> </w:t>
      </w:r>
      <w:r>
        <w:rPr>
          <w:rFonts w:hint="eastAsia" w:ascii="Times New Roman" w:hAnsi="Times New Roman" w:eastAsia="黑体"/>
        </w:rPr>
        <w:t>录</w:t>
      </w:r>
      <w:r>
        <w:rPr>
          <w:rFonts w:ascii="Times New Roman" w:hAnsi="Times New Roman" w:eastAsia="黑体"/>
        </w:rPr>
        <w:t xml:space="preserve"> A</w:t>
      </w: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（规范性）</w:t>
      </w: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巴氏杀菌及</w:t>
      </w:r>
      <w:r>
        <w:rPr>
          <w:rFonts w:hint="eastAsia" w:eastAsia="黑体"/>
        </w:rPr>
        <w:t>其他等效热加工方式</w:t>
      </w:r>
      <w:r>
        <w:rPr>
          <w:rFonts w:hint="eastAsia" w:ascii="Times New Roman" w:hAnsi="Times New Roman" w:eastAsia="黑体"/>
        </w:rPr>
        <w:t>要求</w:t>
      </w:r>
    </w:p>
    <w:p>
      <w:pPr>
        <w:pStyle w:val="23"/>
        <w:spacing w:line="360" w:lineRule="auto"/>
        <w:ind w:firstLine="0" w:firstLineChars="0"/>
        <w:rPr>
          <w:rFonts w:hAnsi="宋体"/>
          <w:b/>
          <w:bCs/>
        </w:rPr>
      </w:pPr>
      <w:r>
        <w:rPr>
          <w:rFonts w:hAnsi="宋体"/>
          <w:b/>
          <w:bCs/>
        </w:rPr>
        <w:t xml:space="preserve">A.1 </w:t>
      </w:r>
      <w:bookmarkStart w:id="32" w:name="_Hlk29245567"/>
      <w:r>
        <w:rPr>
          <w:rFonts w:hint="eastAsia" w:hAnsi="宋体"/>
          <w:b/>
          <w:bCs/>
        </w:rPr>
        <w:t>巴氏杀菌温度时间要求</w:t>
      </w:r>
    </w:p>
    <w:p>
      <w:pPr>
        <w:pStyle w:val="23"/>
        <w:rPr>
          <w:rFonts w:asciiTheme="minorEastAsia" w:hAnsiTheme="minorEastAsia" w:eastAsiaTheme="minorEastAsia"/>
        </w:rPr>
      </w:pPr>
      <w:r>
        <w:rPr>
          <w:rFonts w:hint="eastAsia"/>
        </w:rPr>
        <w:t>巴氏杀菌指在有效杀灭病原性微生物的同时，产生最低程度的化学、物理以及感官变化的加工方法，应确保达到表</w:t>
      </w:r>
      <w:r>
        <w:rPr>
          <w:rFonts w:ascii="Times New Roman"/>
        </w:rPr>
        <w:t>A.1</w:t>
      </w:r>
      <w:r>
        <w:rPr>
          <w:rFonts w:hint="eastAsia"/>
        </w:rPr>
        <w:t>中所示之一的温度和时间要求，并保持在该温度或以上至少持续相应的时间，或其他等效热加工方式。</w:t>
      </w:r>
    </w:p>
    <w:bookmarkEnd w:id="32"/>
    <w:p>
      <w:pPr>
        <w:pStyle w:val="127"/>
        <w:numPr>
          <w:ilvl w:val="0"/>
          <w:numId w:val="0"/>
        </w:numPr>
        <w:rPr>
          <w:rFonts w:ascii="Times New Roman"/>
        </w:rPr>
      </w:pPr>
      <w:r>
        <w:rPr>
          <w:rFonts w:hint="eastAsia" w:ascii="Times New Roman"/>
        </w:rPr>
        <w:t>表</w:t>
      </w:r>
      <w:r>
        <w:rPr>
          <w:rFonts w:ascii="Times New Roman"/>
        </w:rPr>
        <w:t xml:space="preserve">A.1 </w:t>
      </w:r>
      <w:r>
        <w:rPr>
          <w:rFonts w:hint="eastAsia" w:ascii="Times New Roman"/>
        </w:rPr>
        <w:t>巴氏杀菌温度时间要求</w:t>
      </w:r>
    </w:p>
    <w:tbl>
      <w:tblPr>
        <w:tblStyle w:val="33"/>
        <w:tblW w:w="62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22"/>
        <w:gridCol w:w="31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39"/>
              <w:spacing w:before="100" w:beforeAutospacing="1" w:after="100" w:afterAutospacing="1"/>
              <w:rPr>
                <w:rFonts w:ascii="Times New Roman" w:hAnsi="Times New Roman"/>
                <w:b w:val="0"/>
                <w:sz w:val="21"/>
                <w:szCs w:val="21"/>
              </w:rPr>
            </w:pPr>
            <w:r>
              <w:rPr>
                <w:rFonts w:hint="eastAsia" w:ascii="Times New Roman" w:hAnsi="Times New Roman"/>
                <w:b w:val="0"/>
                <w:sz w:val="21"/>
                <w:szCs w:val="21"/>
              </w:rPr>
              <w:t>温</w:t>
            </w:r>
            <w:r>
              <w:rPr>
                <w:rFonts w:ascii="Times New Roman" w:hAnsi="Times New Roman"/>
                <w:b w:val="0"/>
                <w:sz w:val="21"/>
                <w:szCs w:val="21"/>
              </w:rPr>
              <w:t xml:space="preserve">   </w:t>
            </w:r>
            <w:r>
              <w:rPr>
                <w:rFonts w:hint="eastAsia" w:ascii="Times New Roman" w:hAnsi="Times New Roman"/>
                <w:b w:val="0"/>
                <w:sz w:val="21"/>
                <w:szCs w:val="21"/>
              </w:rPr>
              <w:t>度</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39"/>
              <w:spacing w:before="100" w:beforeAutospacing="1" w:after="100" w:afterAutospacing="1"/>
              <w:rPr>
                <w:rFonts w:ascii="Times New Roman" w:hAnsi="Times New Roman"/>
                <w:b w:val="0"/>
                <w:sz w:val="21"/>
                <w:szCs w:val="21"/>
              </w:rPr>
            </w:pPr>
            <w:r>
              <w:rPr>
                <w:rFonts w:hint="eastAsia" w:ascii="Times New Roman" w:hAnsi="Times New Roman"/>
                <w:b w:val="0"/>
                <w:sz w:val="21"/>
                <w:szCs w:val="21"/>
              </w:rPr>
              <w:t>时</w:t>
            </w:r>
            <w:r>
              <w:rPr>
                <w:rFonts w:ascii="Times New Roman" w:hAnsi="Times New Roman"/>
                <w:b w:val="0"/>
                <w:sz w:val="21"/>
                <w:szCs w:val="21"/>
              </w:rPr>
              <w:t xml:space="preserve">   </w:t>
            </w:r>
            <w:r>
              <w:rPr>
                <w:rFonts w:hint="eastAsia" w:ascii="Times New Roman" w:hAnsi="Times New Roman"/>
                <w:b w:val="0"/>
                <w:sz w:val="21"/>
                <w:szCs w:val="21"/>
              </w:rPr>
              <w:t>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63</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30 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72</w:t>
            </w:r>
            <w:r>
              <w:rPr>
                <w:rFonts w:hint="eastAsia"/>
                <w:sz w:val="21"/>
                <w:szCs w:val="21"/>
              </w:rPr>
              <w:t>℃</w:t>
            </w:r>
            <w:r>
              <w:rPr>
                <w:sz w:val="21"/>
                <w:szCs w:val="21"/>
              </w:rPr>
              <w:t>~80</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15 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89</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1.0 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90</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0.5 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94</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0.1 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96</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0.05 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100</w:t>
            </w:r>
            <w:r>
              <w:rPr>
                <w:rFonts w:hint="eastAsia"/>
                <w:sz w:val="21"/>
                <w:szCs w:val="21"/>
              </w:rPr>
              <w:t>℃</w:t>
            </w:r>
          </w:p>
        </w:tc>
        <w:tc>
          <w:tcPr>
            <w:tcW w:w="3122" w:type="dxa"/>
            <w:tcBorders>
              <w:top w:val="single" w:color="000000" w:sz="4" w:space="0"/>
              <w:left w:val="single" w:color="000000" w:sz="4" w:space="0"/>
              <w:bottom w:val="single" w:color="000000" w:sz="4" w:space="0"/>
              <w:right w:val="single" w:color="000000" w:sz="4" w:space="0"/>
            </w:tcBorders>
            <w:vAlign w:val="center"/>
          </w:tcPr>
          <w:p>
            <w:pPr>
              <w:pStyle w:val="140"/>
              <w:spacing w:before="100" w:beforeAutospacing="1" w:after="100" w:afterAutospacing="1"/>
              <w:jc w:val="center"/>
              <w:rPr>
                <w:sz w:val="21"/>
                <w:szCs w:val="21"/>
              </w:rPr>
            </w:pPr>
            <w:r>
              <w:rPr>
                <w:sz w:val="21"/>
                <w:szCs w:val="21"/>
              </w:rPr>
              <w:t>0.01 s</w:t>
            </w:r>
          </w:p>
        </w:tc>
      </w:tr>
    </w:tbl>
    <w:p>
      <w:pPr>
        <w:pStyle w:val="23"/>
        <w:spacing w:before="156" w:after="156" w:line="360" w:lineRule="auto"/>
        <w:ind w:firstLine="0" w:firstLineChars="0"/>
        <w:rPr>
          <w:rFonts w:hAnsi="宋体"/>
          <w:b/>
          <w:bCs/>
        </w:rPr>
      </w:pPr>
      <w:r>
        <w:rPr>
          <w:rFonts w:hAnsi="宋体"/>
          <w:b/>
          <w:bCs/>
        </w:rPr>
        <w:t xml:space="preserve">A.2 </w:t>
      </w:r>
      <w:r>
        <w:rPr>
          <w:rFonts w:hint="eastAsia" w:hAnsi="宋体"/>
          <w:b/>
          <w:bCs/>
        </w:rPr>
        <w:t>巴氏杀菌乳加工方式的等效评价</w:t>
      </w:r>
    </w:p>
    <w:p>
      <w:pPr>
        <w:pStyle w:val="23"/>
        <w:spacing w:line="320" w:lineRule="exact"/>
        <w:ind w:firstLine="424" w:firstLineChars="202"/>
        <w:rPr>
          <w:rFonts w:asciiTheme="minorEastAsia" w:hAnsiTheme="minorEastAsia" w:eastAsiaTheme="minorEastAsia"/>
        </w:rPr>
      </w:pPr>
      <w:r>
        <w:rPr>
          <w:rFonts w:hint="eastAsia" w:asciiTheme="minorEastAsia" w:hAnsiTheme="minorEastAsia" w:eastAsiaTheme="minorEastAsia"/>
        </w:rPr>
        <w:t>巴氏杀菌乳加工方式的等效评价应符合表</w:t>
      </w:r>
      <w:r>
        <w:rPr>
          <w:rFonts w:ascii="Times New Roman" w:eastAsiaTheme="minorEastAsia"/>
        </w:rPr>
        <w:t>A.2</w:t>
      </w:r>
      <w:r>
        <w:rPr>
          <w:rFonts w:hint="eastAsia" w:asciiTheme="minorEastAsia" w:hAnsiTheme="minorEastAsia" w:eastAsiaTheme="minorEastAsia"/>
        </w:rPr>
        <w:t>要求。</w:t>
      </w:r>
    </w:p>
    <w:p>
      <w:pPr>
        <w:pStyle w:val="127"/>
        <w:numPr>
          <w:ilvl w:val="0"/>
          <w:numId w:val="0"/>
        </w:numPr>
        <w:rPr>
          <w:rFonts w:ascii="Times New Roman"/>
        </w:rPr>
      </w:pPr>
      <w:r>
        <w:rPr>
          <w:rFonts w:hint="eastAsia" w:ascii="Times New Roman"/>
        </w:rPr>
        <w:t>表</w:t>
      </w:r>
      <w:r>
        <w:rPr>
          <w:rFonts w:ascii="Times New Roman"/>
        </w:rPr>
        <w:t xml:space="preserve">A.2  </w:t>
      </w:r>
      <w:r>
        <w:rPr>
          <w:rFonts w:hint="eastAsia" w:ascii="Times New Roman"/>
        </w:rPr>
        <w:t>巴氏杀菌乳加工方式等效评价要求</w:t>
      </w:r>
    </w:p>
    <w:tbl>
      <w:tblPr>
        <w:tblStyle w:val="33"/>
        <w:tblW w:w="8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211"/>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14" w:type="dxa"/>
            <w:vAlign w:val="center"/>
          </w:tcPr>
          <w:p>
            <w:pPr>
              <w:pStyle w:val="139"/>
              <w:spacing w:before="100" w:beforeAutospacing="1" w:after="100" w:afterAutospacing="1"/>
              <w:rPr>
                <w:rFonts w:ascii="Times New Roman" w:hAnsi="Times New Roman"/>
                <w:b w:val="0"/>
                <w:sz w:val="21"/>
                <w:szCs w:val="21"/>
              </w:rPr>
            </w:pPr>
            <w:r>
              <w:rPr>
                <w:rFonts w:hint="eastAsia" w:ascii="Times New Roman" w:hAnsi="Times New Roman"/>
                <w:b w:val="0"/>
                <w:sz w:val="21"/>
                <w:szCs w:val="21"/>
              </w:rPr>
              <w:t>项</w:t>
            </w:r>
            <w:r>
              <w:rPr>
                <w:rFonts w:ascii="Times New Roman" w:hAnsi="Times New Roman"/>
                <w:b w:val="0"/>
                <w:sz w:val="21"/>
                <w:szCs w:val="21"/>
              </w:rPr>
              <w:t xml:space="preserve">   </w:t>
            </w:r>
            <w:r>
              <w:rPr>
                <w:rFonts w:hint="eastAsia" w:ascii="Times New Roman" w:hAnsi="Times New Roman"/>
                <w:b w:val="0"/>
                <w:sz w:val="21"/>
                <w:szCs w:val="21"/>
              </w:rPr>
              <w:t>目</w:t>
            </w:r>
          </w:p>
        </w:tc>
        <w:tc>
          <w:tcPr>
            <w:tcW w:w="2211" w:type="dxa"/>
            <w:vAlign w:val="center"/>
          </w:tcPr>
          <w:p>
            <w:pPr>
              <w:pStyle w:val="139"/>
              <w:spacing w:before="100" w:beforeAutospacing="1" w:after="100" w:afterAutospacing="1"/>
              <w:rPr>
                <w:rFonts w:ascii="Times New Roman" w:hAnsi="Times New Roman"/>
                <w:b w:val="0"/>
                <w:sz w:val="21"/>
                <w:szCs w:val="21"/>
              </w:rPr>
            </w:pPr>
            <w:r>
              <w:rPr>
                <w:rFonts w:hint="eastAsia" w:ascii="Times New Roman" w:hAnsi="Times New Roman"/>
                <w:b w:val="0"/>
                <w:sz w:val="21"/>
                <w:szCs w:val="21"/>
              </w:rPr>
              <w:t>指</w:t>
            </w:r>
            <w:r>
              <w:rPr>
                <w:rFonts w:ascii="Times New Roman" w:hAnsi="Times New Roman"/>
                <w:b w:val="0"/>
                <w:sz w:val="21"/>
                <w:szCs w:val="21"/>
              </w:rPr>
              <w:t xml:space="preserve">   </w:t>
            </w:r>
            <w:r>
              <w:rPr>
                <w:rFonts w:hint="eastAsia" w:ascii="Times New Roman" w:hAnsi="Times New Roman"/>
                <w:b w:val="0"/>
                <w:sz w:val="21"/>
                <w:szCs w:val="21"/>
              </w:rPr>
              <w:t>标</w:t>
            </w:r>
          </w:p>
        </w:tc>
        <w:tc>
          <w:tcPr>
            <w:tcW w:w="2907" w:type="dxa"/>
            <w:vAlign w:val="center"/>
          </w:tcPr>
          <w:p>
            <w:pPr>
              <w:pStyle w:val="139"/>
              <w:spacing w:before="100" w:beforeAutospacing="1" w:after="100" w:afterAutospacing="1"/>
              <w:rPr>
                <w:rFonts w:ascii="Times New Roman" w:hAnsi="Times New Roman"/>
                <w:b w:val="0"/>
                <w:sz w:val="21"/>
                <w:szCs w:val="21"/>
              </w:rPr>
            </w:pPr>
            <w:r>
              <w:rPr>
                <w:rFonts w:hint="eastAsia" w:ascii="Times New Roman" w:hAnsi="Times New Roman"/>
                <w:b w:val="0"/>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14" w:type="dxa"/>
            <w:vAlign w:val="center"/>
          </w:tcPr>
          <w:p>
            <w:pPr>
              <w:pStyle w:val="140"/>
              <w:spacing w:before="100" w:beforeAutospacing="1" w:after="100" w:afterAutospacing="1"/>
              <w:rPr>
                <w:sz w:val="21"/>
                <w:szCs w:val="21"/>
              </w:rPr>
            </w:pPr>
            <w:r>
              <w:rPr>
                <w:rFonts w:hint="eastAsia"/>
                <w:sz w:val="21"/>
                <w:szCs w:val="21"/>
              </w:rPr>
              <w:t>碱性磷酸酶</w:t>
            </w:r>
          </w:p>
        </w:tc>
        <w:tc>
          <w:tcPr>
            <w:tcW w:w="2211" w:type="dxa"/>
            <w:vAlign w:val="center"/>
          </w:tcPr>
          <w:p>
            <w:pPr>
              <w:pStyle w:val="140"/>
              <w:spacing w:before="100" w:beforeAutospacing="1" w:after="100" w:afterAutospacing="1"/>
              <w:jc w:val="center"/>
              <w:rPr>
                <w:sz w:val="21"/>
                <w:szCs w:val="21"/>
              </w:rPr>
            </w:pPr>
            <w:r>
              <w:rPr>
                <w:rFonts w:hint="eastAsia"/>
                <w:sz w:val="21"/>
                <w:szCs w:val="21"/>
              </w:rPr>
              <w:t>阴性</w:t>
            </w:r>
          </w:p>
        </w:tc>
        <w:tc>
          <w:tcPr>
            <w:tcW w:w="2907" w:type="dxa"/>
            <w:vAlign w:val="center"/>
          </w:tcPr>
          <w:p>
            <w:pPr>
              <w:pStyle w:val="140"/>
              <w:spacing w:before="100" w:beforeAutospacing="1" w:after="100" w:afterAutospacing="1"/>
              <w:jc w:val="center"/>
              <w:rPr>
                <w:sz w:val="21"/>
                <w:szCs w:val="21"/>
              </w:rPr>
            </w:pPr>
            <w:r>
              <w:rPr>
                <w:sz w:val="21"/>
                <w:szCs w:val="21"/>
              </w:rPr>
              <w:t>NY/T 3799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14" w:type="dxa"/>
            <w:vAlign w:val="center"/>
          </w:tcPr>
          <w:p>
            <w:pPr>
              <w:pStyle w:val="140"/>
              <w:spacing w:before="100" w:beforeAutospacing="1" w:after="100" w:afterAutospacing="1"/>
              <w:rPr>
                <w:sz w:val="21"/>
                <w:szCs w:val="21"/>
              </w:rPr>
            </w:pPr>
            <w:r>
              <w:rPr>
                <w:rFonts w:hint="eastAsia"/>
                <w:sz w:val="21"/>
                <w:szCs w:val="21"/>
              </w:rPr>
              <w:t>糠氨酸</w:t>
            </w:r>
            <w:r>
              <w:rPr>
                <w:sz w:val="21"/>
                <w:szCs w:val="21"/>
              </w:rPr>
              <w:t>(m</w:t>
            </w:r>
            <w:r>
              <w:rPr>
                <w:rFonts w:eastAsia="Times New Roman"/>
                <w:sz w:val="21"/>
                <w:szCs w:val="21"/>
              </w:rPr>
              <w:t>g</w:t>
            </w:r>
            <w:r>
              <w:rPr>
                <w:sz w:val="21"/>
                <w:szCs w:val="21"/>
              </w:rPr>
              <w:t>/</w:t>
            </w:r>
            <w:r>
              <w:rPr>
                <w:rFonts w:eastAsia="Times New Roman"/>
                <w:sz w:val="21"/>
                <w:szCs w:val="21"/>
              </w:rPr>
              <w:t>100g</w:t>
            </w:r>
            <w:r>
              <w:rPr>
                <w:rFonts w:hint="eastAsia"/>
                <w:sz w:val="21"/>
                <w:szCs w:val="21"/>
              </w:rPr>
              <w:t>蛋白质</w:t>
            </w:r>
            <w:r>
              <w:rPr>
                <w:sz w:val="21"/>
                <w:szCs w:val="21"/>
              </w:rPr>
              <w:t xml:space="preserve">)    </w:t>
            </w:r>
          </w:p>
        </w:tc>
        <w:tc>
          <w:tcPr>
            <w:tcW w:w="2211" w:type="dxa"/>
            <w:vAlign w:val="center"/>
          </w:tcPr>
          <w:p>
            <w:pPr>
              <w:pStyle w:val="140"/>
              <w:spacing w:before="100" w:beforeAutospacing="1" w:after="100" w:afterAutospacing="1"/>
              <w:jc w:val="center"/>
              <w:rPr>
                <w:sz w:val="21"/>
                <w:szCs w:val="21"/>
              </w:rPr>
            </w:pPr>
            <w:r>
              <w:rPr>
                <w:rFonts w:hint="eastAsia"/>
                <w:sz w:val="21"/>
                <w:szCs w:val="21"/>
              </w:rPr>
              <w:t>≤</w:t>
            </w:r>
            <w:r>
              <w:rPr>
                <w:sz w:val="21"/>
                <w:szCs w:val="21"/>
              </w:rPr>
              <w:t>12.0</w:t>
            </w:r>
          </w:p>
        </w:tc>
        <w:tc>
          <w:tcPr>
            <w:tcW w:w="2907" w:type="dxa"/>
            <w:vAlign w:val="center"/>
          </w:tcPr>
          <w:p>
            <w:pPr>
              <w:pStyle w:val="140"/>
              <w:spacing w:before="100" w:beforeAutospacing="1" w:after="100" w:afterAutospacing="1"/>
              <w:jc w:val="center"/>
              <w:rPr>
                <w:sz w:val="21"/>
                <w:szCs w:val="21"/>
              </w:rPr>
            </w:pPr>
            <w:r>
              <w:rPr>
                <w:sz w:val="21"/>
                <w:szCs w:val="21"/>
              </w:rPr>
              <w:t>NY/T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14" w:type="dxa"/>
            <w:vAlign w:val="center"/>
          </w:tcPr>
          <w:p>
            <w:pPr>
              <w:pStyle w:val="140"/>
              <w:spacing w:before="100" w:beforeAutospacing="1" w:after="100" w:afterAutospacing="1"/>
              <w:rPr>
                <w:sz w:val="21"/>
                <w:szCs w:val="21"/>
              </w:rPr>
            </w:pPr>
            <w:r>
              <w:rPr>
                <w:rFonts w:hint="eastAsia"/>
                <w:sz w:val="21"/>
                <w:szCs w:val="21"/>
              </w:rPr>
              <w:t>乳过氧化物酶</w:t>
            </w:r>
          </w:p>
        </w:tc>
        <w:tc>
          <w:tcPr>
            <w:tcW w:w="2211" w:type="dxa"/>
            <w:vAlign w:val="center"/>
          </w:tcPr>
          <w:p>
            <w:pPr>
              <w:pStyle w:val="140"/>
              <w:spacing w:before="100" w:beforeAutospacing="1" w:after="100" w:afterAutospacing="1"/>
              <w:jc w:val="center"/>
              <w:rPr>
                <w:sz w:val="21"/>
                <w:szCs w:val="21"/>
              </w:rPr>
            </w:pPr>
            <w:r>
              <w:rPr>
                <w:rFonts w:hint="eastAsia"/>
                <w:sz w:val="21"/>
                <w:szCs w:val="21"/>
              </w:rPr>
              <w:t>阳性</w:t>
            </w:r>
          </w:p>
        </w:tc>
        <w:tc>
          <w:tcPr>
            <w:tcW w:w="2907" w:type="dxa"/>
            <w:vAlign w:val="center"/>
          </w:tcPr>
          <w:p>
            <w:pPr>
              <w:pStyle w:val="140"/>
              <w:spacing w:before="100" w:beforeAutospacing="1" w:after="100" w:afterAutospacing="1"/>
              <w:jc w:val="center"/>
              <w:rPr>
                <w:sz w:val="21"/>
                <w:szCs w:val="21"/>
              </w:rPr>
            </w:pPr>
            <w:r>
              <w:rPr>
                <w:rFonts w:hint="eastAsia"/>
                <w:sz w:val="21"/>
                <w:szCs w:val="21"/>
              </w:rPr>
              <w:t>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232" w:type="dxa"/>
            <w:gridSpan w:val="3"/>
            <w:vAlign w:val="center"/>
          </w:tcPr>
          <w:p>
            <w:pPr>
              <w:pStyle w:val="140"/>
              <w:spacing w:before="100" w:beforeAutospacing="1"/>
              <w:rPr>
                <w:sz w:val="21"/>
                <w:szCs w:val="21"/>
              </w:rPr>
            </w:pPr>
            <w:r>
              <w:rPr>
                <w:rFonts w:hint="eastAsia"/>
                <w:sz w:val="21"/>
                <w:szCs w:val="21"/>
              </w:rPr>
              <w:t>注1</w:t>
            </w:r>
            <w:r>
              <w:rPr>
                <w:sz w:val="21"/>
                <w:szCs w:val="21"/>
              </w:rPr>
              <w:t>：</w:t>
            </w:r>
            <w:r>
              <w:rPr>
                <w:rFonts w:hint="eastAsia"/>
                <w:sz w:val="21"/>
                <w:szCs w:val="21"/>
              </w:rPr>
              <w:t>应在加工过程在线采样并测定。</w:t>
            </w:r>
          </w:p>
          <w:p>
            <w:pPr>
              <w:pStyle w:val="140"/>
              <w:spacing w:after="100" w:afterAutospacing="1"/>
              <w:rPr>
                <w:sz w:val="21"/>
                <w:szCs w:val="21"/>
              </w:rPr>
            </w:pPr>
            <w:r>
              <w:rPr>
                <w:rFonts w:hint="eastAsia"/>
                <w:sz w:val="21"/>
                <w:szCs w:val="21"/>
              </w:rPr>
              <w:t>注2：乳过氧化物酶或糠氨酸应至少有一项符合要求。</w:t>
            </w:r>
          </w:p>
        </w:tc>
      </w:tr>
    </w:tbl>
    <w:p>
      <w:pPr>
        <w:autoSpaceDE w:val="0"/>
        <w:autoSpaceDN w:val="0"/>
        <w:adjustRightInd w:val="0"/>
        <w:snapToGrid w:val="0"/>
        <w:spacing w:before="156" w:beforeLines="50" w:after="156" w:afterLines="50"/>
        <w:textAlignment w:val="bottom"/>
        <w:rPr>
          <w:rFonts w:eastAsia="黑体"/>
        </w:rPr>
      </w:pPr>
    </w:p>
    <w:p>
      <w:pPr>
        <w:pStyle w:val="23"/>
        <w:sectPr>
          <w:pgSz w:w="11906" w:h="16838"/>
          <w:pgMar w:top="567" w:right="1134" w:bottom="1134" w:left="1418" w:header="1418" w:footer="1134" w:gutter="0"/>
          <w:cols w:space="425" w:num="1"/>
          <w:formProt w:val="0"/>
          <w:docGrid w:type="lines" w:linePitch="312" w:charSpace="0"/>
        </w:sectPr>
      </w:pPr>
    </w:p>
    <w:p>
      <w:pPr>
        <w:pStyle w:val="127"/>
        <w:numPr>
          <w:ilvl w:val="0"/>
          <w:numId w:val="0"/>
        </w:numPr>
        <w:spacing w:line="360" w:lineRule="auto"/>
        <w:rPr>
          <w:rFonts w:ascii="Times New Roman"/>
        </w:rPr>
      </w:pPr>
      <w:r>
        <w:rPr>
          <w:rFonts w:hint="eastAsia" w:ascii="Times New Roman"/>
        </w:rPr>
        <w:t>附</w:t>
      </w:r>
      <w:r>
        <w:rPr>
          <w:rFonts w:ascii="Times New Roman"/>
        </w:rPr>
        <w:t xml:space="preserve"> </w:t>
      </w:r>
      <w:r>
        <w:rPr>
          <w:rFonts w:hint="eastAsia" w:ascii="Times New Roman"/>
        </w:rPr>
        <w:t>录</w:t>
      </w:r>
      <w:r>
        <w:rPr>
          <w:rFonts w:ascii="Times New Roman"/>
        </w:rPr>
        <w:t xml:space="preserve"> B</w:t>
      </w: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（资料性）</w:t>
      </w:r>
    </w:p>
    <w:p>
      <w:pPr>
        <w:pStyle w:val="12"/>
        <w:spacing w:before="156" w:beforeLines="50" w:after="156" w:afterLines="50" w:line="360" w:lineRule="auto"/>
        <w:jc w:val="center"/>
        <w:rPr>
          <w:rFonts w:ascii="Times New Roman" w:hAnsi="Times New Roman" w:eastAsia="黑体"/>
        </w:rPr>
      </w:pPr>
      <w:r>
        <w:rPr>
          <w:rFonts w:hint="eastAsia" w:ascii="Times New Roman" w:hAnsi="Times New Roman" w:eastAsia="黑体"/>
        </w:rPr>
        <w:t>温度时间对应的工艺曲线图</w:t>
      </w:r>
    </w:p>
    <w:p>
      <w:pPr>
        <w:pStyle w:val="23"/>
      </w:pPr>
    </w:p>
    <w:p>
      <w:pPr>
        <w:widowControl/>
        <w:tabs>
          <w:tab w:val="center" w:pos="4201"/>
          <w:tab w:val="right" w:leader="dot" w:pos="9298"/>
        </w:tabs>
        <w:autoSpaceDE w:val="0"/>
        <w:autoSpaceDN w:val="0"/>
        <w:spacing w:before="50" w:after="50" w:line="360" w:lineRule="auto"/>
        <w:jc w:val="center"/>
        <w:rPr>
          <w:rFonts w:eastAsia="黑体"/>
          <w:kern w:val="0"/>
          <w:szCs w:val="21"/>
        </w:rPr>
      </w:pPr>
      <w:r>
        <w:rPr>
          <w:rFonts w:eastAsia="黑体"/>
          <w:kern w:val="0"/>
          <w:szCs w:val="21"/>
        </w:rPr>
        <w:drawing>
          <wp:inline distT="0" distB="0" distL="0" distR="0">
            <wp:extent cx="3893820" cy="19342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16511" cy="1945578"/>
                    </a:xfrm>
                    <a:prstGeom prst="rect">
                      <a:avLst/>
                    </a:prstGeom>
                    <a:noFill/>
                  </pic:spPr>
                </pic:pic>
              </a:graphicData>
            </a:graphic>
          </wp:inline>
        </w:drawing>
      </w:r>
    </w:p>
    <w:p>
      <w:pPr>
        <w:widowControl/>
        <w:tabs>
          <w:tab w:val="center" w:pos="4201"/>
          <w:tab w:val="right" w:leader="dot" w:pos="9298"/>
        </w:tabs>
        <w:autoSpaceDE w:val="0"/>
        <w:autoSpaceDN w:val="0"/>
        <w:spacing w:before="50" w:after="50" w:line="360" w:lineRule="auto"/>
        <w:jc w:val="center"/>
        <w:rPr>
          <w:rFonts w:ascii="黑体" w:hAnsi="黑体" w:eastAsia="黑体"/>
          <w:kern w:val="0"/>
          <w:szCs w:val="21"/>
        </w:rPr>
      </w:pPr>
      <w:r>
        <w:rPr>
          <w:rFonts w:hint="eastAsia" w:ascii="黑体" w:hAnsi="黑体" w:eastAsia="黑体"/>
          <w:kern w:val="0"/>
          <w:szCs w:val="21"/>
        </w:rPr>
        <w:t>图</w:t>
      </w:r>
      <w:r>
        <w:rPr>
          <w:rFonts w:eastAsia="黑体"/>
          <w:kern w:val="0"/>
          <w:szCs w:val="21"/>
        </w:rPr>
        <w:t xml:space="preserve"> B.1 </w:t>
      </w:r>
      <w:r>
        <w:rPr>
          <w:rFonts w:hint="eastAsia" w:ascii="黑体" w:hAnsi="黑体" w:eastAsia="黑体"/>
          <w:kern w:val="0"/>
          <w:szCs w:val="21"/>
        </w:rPr>
        <w:t>温度时间对应的工艺曲线图</w:t>
      </w:r>
    </w:p>
    <w:sectPr>
      <w:pgSz w:w="11906" w:h="16838"/>
      <w:pgMar w:top="567" w:right="1134" w:bottom="1134" w:left="1418" w:header="1418" w:footer="1134" w:gutter="0"/>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193"/>
      </w:tabs>
      <w:jc w:val="both"/>
    </w:pPr>
    <w:r>
      <w:tab/>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lef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4"/>
                            <w:jc w:val="left"/>
                          </w:pP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44"/>
                      <w:jc w:val="left"/>
                    </w:pPr>
                  </w:p>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156"/>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rPr>
        <w:rFonts w:hint="eastAsia"/>
      </w:rPr>
      <w:t>NY</w:t>
    </w:r>
    <w:r>
      <w:t>/T XXXXX—XXXX</w:t>
    </w:r>
  </w:p>
  <w:p>
    <w:pPr>
      <w:pStyle w:val="45"/>
      <w:ind w:right="2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6"/>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7"/>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7"/>
      <w:suff w:val="nothing"/>
      <w:lvlText w:val="表%1　"/>
      <w:lvlJc w:val="left"/>
      <w:pPr>
        <w:ind w:left="3969" w:firstLine="0"/>
      </w:pPr>
      <w:rPr>
        <w:rFonts w:hint="eastAsia" w:ascii="黑体" w:hAnsi="Times New Roman" w:eastAsia="黑体"/>
        <w:b w:val="0"/>
        <w:i w:val="0"/>
        <w:sz w:val="21"/>
      </w:rPr>
    </w:lvl>
    <w:lvl w:ilvl="1" w:tentative="0">
      <w:start w:val="1"/>
      <w:numFmt w:val="decimal"/>
      <w:lvlText w:val="%1.%2"/>
      <w:lvlJc w:val="left"/>
      <w:pPr>
        <w:tabs>
          <w:tab w:val="left" w:pos="4961"/>
        </w:tabs>
        <w:ind w:left="4961" w:hanging="567"/>
      </w:pPr>
      <w:rPr>
        <w:rFonts w:hint="eastAsia"/>
      </w:rPr>
    </w:lvl>
    <w:lvl w:ilvl="2" w:tentative="0">
      <w:start w:val="1"/>
      <w:numFmt w:val="decimal"/>
      <w:lvlText w:val="%1.%2.%3"/>
      <w:lvlJc w:val="left"/>
      <w:pPr>
        <w:tabs>
          <w:tab w:val="left" w:pos="5387"/>
        </w:tabs>
        <w:ind w:left="5387" w:hanging="567"/>
      </w:pPr>
      <w:rPr>
        <w:rFonts w:hint="eastAsia"/>
      </w:rPr>
    </w:lvl>
    <w:lvl w:ilvl="3" w:tentative="0">
      <w:start w:val="1"/>
      <w:numFmt w:val="decimal"/>
      <w:lvlText w:val="%1.%2.%3.%4"/>
      <w:lvlJc w:val="left"/>
      <w:pPr>
        <w:tabs>
          <w:tab w:val="left" w:pos="5953"/>
        </w:tabs>
        <w:ind w:left="5953" w:hanging="708"/>
      </w:pPr>
      <w:rPr>
        <w:rFonts w:hint="eastAsia"/>
      </w:rPr>
    </w:lvl>
    <w:lvl w:ilvl="4" w:tentative="0">
      <w:start w:val="1"/>
      <w:numFmt w:val="decimal"/>
      <w:lvlText w:val="%1.%2.%3.%4.%5"/>
      <w:lvlJc w:val="left"/>
      <w:pPr>
        <w:tabs>
          <w:tab w:val="left" w:pos="6520"/>
        </w:tabs>
        <w:ind w:left="6520" w:hanging="850"/>
      </w:pPr>
      <w:rPr>
        <w:rFonts w:hint="eastAsia"/>
      </w:rPr>
    </w:lvl>
    <w:lvl w:ilvl="5" w:tentative="0">
      <w:start w:val="1"/>
      <w:numFmt w:val="decimal"/>
      <w:lvlText w:val="%1.%2.%3.%4.%5.%6"/>
      <w:lvlJc w:val="left"/>
      <w:pPr>
        <w:tabs>
          <w:tab w:val="left" w:pos="7229"/>
        </w:tabs>
        <w:ind w:left="7229" w:hanging="1134"/>
      </w:pPr>
      <w:rPr>
        <w:rFonts w:hint="eastAsia"/>
      </w:rPr>
    </w:lvl>
    <w:lvl w:ilvl="6" w:tentative="0">
      <w:start w:val="1"/>
      <w:numFmt w:val="decimal"/>
      <w:lvlText w:val="%1.%2.%3.%4.%5.%6.%7"/>
      <w:lvlJc w:val="left"/>
      <w:pPr>
        <w:tabs>
          <w:tab w:val="left" w:pos="7796"/>
        </w:tabs>
        <w:ind w:left="7796" w:hanging="1276"/>
      </w:pPr>
      <w:rPr>
        <w:rFonts w:hint="eastAsia"/>
      </w:rPr>
    </w:lvl>
    <w:lvl w:ilvl="7" w:tentative="0">
      <w:start w:val="1"/>
      <w:numFmt w:val="decimal"/>
      <w:lvlText w:val="%1.%2.%3.%4.%5.%6.%7.%8"/>
      <w:lvlJc w:val="left"/>
      <w:pPr>
        <w:tabs>
          <w:tab w:val="left" w:pos="8363"/>
        </w:tabs>
        <w:ind w:left="8363" w:hanging="1418"/>
      </w:pPr>
      <w:rPr>
        <w:rFonts w:hint="eastAsia"/>
      </w:rPr>
    </w:lvl>
    <w:lvl w:ilvl="8" w:tentative="0">
      <w:start w:val="1"/>
      <w:numFmt w:val="decimal"/>
      <w:lvlText w:val="%1.%2.%3.%4.%5.%6.%7.%8.%9"/>
      <w:lvlJc w:val="left"/>
      <w:pPr>
        <w:tabs>
          <w:tab w:val="left" w:pos="9071"/>
        </w:tabs>
        <w:ind w:left="9071" w:hanging="1700"/>
      </w:pPr>
      <w:rPr>
        <w:rFonts w:hint="eastAsia"/>
      </w:rPr>
    </w:lvl>
  </w:abstractNum>
  <w:abstractNum w:abstractNumId="15">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6E1"/>
    <w:rsid w:val="0000185F"/>
    <w:rsid w:val="000033CD"/>
    <w:rsid w:val="00003790"/>
    <w:rsid w:val="0000586F"/>
    <w:rsid w:val="000066CC"/>
    <w:rsid w:val="000066F9"/>
    <w:rsid w:val="00006895"/>
    <w:rsid w:val="00010C5B"/>
    <w:rsid w:val="000114AA"/>
    <w:rsid w:val="00013D86"/>
    <w:rsid w:val="00013E02"/>
    <w:rsid w:val="00016086"/>
    <w:rsid w:val="00016275"/>
    <w:rsid w:val="00016BB8"/>
    <w:rsid w:val="00021000"/>
    <w:rsid w:val="00021418"/>
    <w:rsid w:val="0002143C"/>
    <w:rsid w:val="00022B29"/>
    <w:rsid w:val="00023E76"/>
    <w:rsid w:val="0002445F"/>
    <w:rsid w:val="00024FC0"/>
    <w:rsid w:val="000257AA"/>
    <w:rsid w:val="00025A65"/>
    <w:rsid w:val="00026C31"/>
    <w:rsid w:val="00027280"/>
    <w:rsid w:val="000301AB"/>
    <w:rsid w:val="00030DA1"/>
    <w:rsid w:val="00030EA0"/>
    <w:rsid w:val="00031C50"/>
    <w:rsid w:val="000320A7"/>
    <w:rsid w:val="000327FF"/>
    <w:rsid w:val="000341D9"/>
    <w:rsid w:val="00034493"/>
    <w:rsid w:val="0003460B"/>
    <w:rsid w:val="00034CF1"/>
    <w:rsid w:val="0003521C"/>
    <w:rsid w:val="00035925"/>
    <w:rsid w:val="00035F78"/>
    <w:rsid w:val="00037872"/>
    <w:rsid w:val="000429A8"/>
    <w:rsid w:val="00043293"/>
    <w:rsid w:val="00043E00"/>
    <w:rsid w:val="00045216"/>
    <w:rsid w:val="000452C5"/>
    <w:rsid w:val="00056009"/>
    <w:rsid w:val="00056176"/>
    <w:rsid w:val="0005753E"/>
    <w:rsid w:val="00057D4B"/>
    <w:rsid w:val="00062D97"/>
    <w:rsid w:val="00064185"/>
    <w:rsid w:val="00064ED1"/>
    <w:rsid w:val="00065CD6"/>
    <w:rsid w:val="00067CDF"/>
    <w:rsid w:val="00071617"/>
    <w:rsid w:val="000744CB"/>
    <w:rsid w:val="00074CF6"/>
    <w:rsid w:val="00074FBE"/>
    <w:rsid w:val="00075732"/>
    <w:rsid w:val="00083A09"/>
    <w:rsid w:val="000850A5"/>
    <w:rsid w:val="0008615D"/>
    <w:rsid w:val="000879F9"/>
    <w:rsid w:val="0009005E"/>
    <w:rsid w:val="000926A8"/>
    <w:rsid w:val="00092857"/>
    <w:rsid w:val="000938E3"/>
    <w:rsid w:val="00093AA3"/>
    <w:rsid w:val="00094B3A"/>
    <w:rsid w:val="0009559D"/>
    <w:rsid w:val="00097CDC"/>
    <w:rsid w:val="000A0205"/>
    <w:rsid w:val="000A20A9"/>
    <w:rsid w:val="000A291A"/>
    <w:rsid w:val="000A2973"/>
    <w:rsid w:val="000A2FA2"/>
    <w:rsid w:val="000A48B1"/>
    <w:rsid w:val="000A4DC0"/>
    <w:rsid w:val="000B0332"/>
    <w:rsid w:val="000B244D"/>
    <w:rsid w:val="000B29A7"/>
    <w:rsid w:val="000B3143"/>
    <w:rsid w:val="000B42E6"/>
    <w:rsid w:val="000B589E"/>
    <w:rsid w:val="000B594F"/>
    <w:rsid w:val="000B68C8"/>
    <w:rsid w:val="000B736D"/>
    <w:rsid w:val="000C1361"/>
    <w:rsid w:val="000C24B6"/>
    <w:rsid w:val="000C2DEC"/>
    <w:rsid w:val="000C2EFE"/>
    <w:rsid w:val="000C5514"/>
    <w:rsid w:val="000C579A"/>
    <w:rsid w:val="000C6B05"/>
    <w:rsid w:val="000C6DD6"/>
    <w:rsid w:val="000C73D4"/>
    <w:rsid w:val="000D0762"/>
    <w:rsid w:val="000D1537"/>
    <w:rsid w:val="000D1F28"/>
    <w:rsid w:val="000D2A77"/>
    <w:rsid w:val="000D2CF3"/>
    <w:rsid w:val="000D3D4C"/>
    <w:rsid w:val="000D48B4"/>
    <w:rsid w:val="000D4F51"/>
    <w:rsid w:val="000D5A0F"/>
    <w:rsid w:val="000D6E3E"/>
    <w:rsid w:val="000D718B"/>
    <w:rsid w:val="000D743B"/>
    <w:rsid w:val="000E0C46"/>
    <w:rsid w:val="000E1FCE"/>
    <w:rsid w:val="000E44B7"/>
    <w:rsid w:val="000E4B32"/>
    <w:rsid w:val="000E5D97"/>
    <w:rsid w:val="000E66C4"/>
    <w:rsid w:val="000E7A76"/>
    <w:rsid w:val="000E7FF6"/>
    <w:rsid w:val="000F030C"/>
    <w:rsid w:val="000F129C"/>
    <w:rsid w:val="000F2C49"/>
    <w:rsid w:val="000F3349"/>
    <w:rsid w:val="000F3E5D"/>
    <w:rsid w:val="000F6B1E"/>
    <w:rsid w:val="000F7CC7"/>
    <w:rsid w:val="00101675"/>
    <w:rsid w:val="00104DFA"/>
    <w:rsid w:val="001056DE"/>
    <w:rsid w:val="00105CC7"/>
    <w:rsid w:val="00111703"/>
    <w:rsid w:val="00111772"/>
    <w:rsid w:val="00111D42"/>
    <w:rsid w:val="001121D1"/>
    <w:rsid w:val="001124C0"/>
    <w:rsid w:val="001133E8"/>
    <w:rsid w:val="0011596E"/>
    <w:rsid w:val="00115C0D"/>
    <w:rsid w:val="00115C99"/>
    <w:rsid w:val="00115D27"/>
    <w:rsid w:val="001160DB"/>
    <w:rsid w:val="00117216"/>
    <w:rsid w:val="0012082C"/>
    <w:rsid w:val="0012298F"/>
    <w:rsid w:val="0012725A"/>
    <w:rsid w:val="00131101"/>
    <w:rsid w:val="0013175F"/>
    <w:rsid w:val="00131F08"/>
    <w:rsid w:val="0013259C"/>
    <w:rsid w:val="00132CCC"/>
    <w:rsid w:val="0013389C"/>
    <w:rsid w:val="001347F7"/>
    <w:rsid w:val="00135B51"/>
    <w:rsid w:val="00136FF9"/>
    <w:rsid w:val="0013771B"/>
    <w:rsid w:val="001419F0"/>
    <w:rsid w:val="00143966"/>
    <w:rsid w:val="0014504A"/>
    <w:rsid w:val="001451B5"/>
    <w:rsid w:val="00147AD1"/>
    <w:rsid w:val="00150A95"/>
    <w:rsid w:val="00151067"/>
    <w:rsid w:val="001512B4"/>
    <w:rsid w:val="00151E8B"/>
    <w:rsid w:val="0015241D"/>
    <w:rsid w:val="00153F55"/>
    <w:rsid w:val="00154B0C"/>
    <w:rsid w:val="00161291"/>
    <w:rsid w:val="001620A5"/>
    <w:rsid w:val="00162476"/>
    <w:rsid w:val="00164E53"/>
    <w:rsid w:val="00164E9B"/>
    <w:rsid w:val="001653B6"/>
    <w:rsid w:val="00165A00"/>
    <w:rsid w:val="0016699D"/>
    <w:rsid w:val="001673D5"/>
    <w:rsid w:val="001743C2"/>
    <w:rsid w:val="00174504"/>
    <w:rsid w:val="00175159"/>
    <w:rsid w:val="00176208"/>
    <w:rsid w:val="001771FF"/>
    <w:rsid w:val="00180A5D"/>
    <w:rsid w:val="0018100A"/>
    <w:rsid w:val="0018211B"/>
    <w:rsid w:val="00183669"/>
    <w:rsid w:val="00183E57"/>
    <w:rsid w:val="001840D3"/>
    <w:rsid w:val="00186882"/>
    <w:rsid w:val="001900F8"/>
    <w:rsid w:val="00191258"/>
    <w:rsid w:val="00191C54"/>
    <w:rsid w:val="00191ED4"/>
    <w:rsid w:val="00192680"/>
    <w:rsid w:val="00192A92"/>
    <w:rsid w:val="00193037"/>
    <w:rsid w:val="00193A2C"/>
    <w:rsid w:val="00195884"/>
    <w:rsid w:val="00197B2C"/>
    <w:rsid w:val="001A025A"/>
    <w:rsid w:val="001A25C1"/>
    <w:rsid w:val="001A288E"/>
    <w:rsid w:val="001A468F"/>
    <w:rsid w:val="001A49DC"/>
    <w:rsid w:val="001A4E0C"/>
    <w:rsid w:val="001A5BA0"/>
    <w:rsid w:val="001A7A17"/>
    <w:rsid w:val="001B19A7"/>
    <w:rsid w:val="001B31FA"/>
    <w:rsid w:val="001B3CA4"/>
    <w:rsid w:val="001B6DC2"/>
    <w:rsid w:val="001C149C"/>
    <w:rsid w:val="001C21AC"/>
    <w:rsid w:val="001C3166"/>
    <w:rsid w:val="001C3AB2"/>
    <w:rsid w:val="001C47BA"/>
    <w:rsid w:val="001C4A32"/>
    <w:rsid w:val="001C59EA"/>
    <w:rsid w:val="001C6058"/>
    <w:rsid w:val="001D00F0"/>
    <w:rsid w:val="001D22AE"/>
    <w:rsid w:val="001D3D1A"/>
    <w:rsid w:val="001D406C"/>
    <w:rsid w:val="001D41EE"/>
    <w:rsid w:val="001D4450"/>
    <w:rsid w:val="001D6392"/>
    <w:rsid w:val="001D6EE2"/>
    <w:rsid w:val="001E0380"/>
    <w:rsid w:val="001E12C0"/>
    <w:rsid w:val="001E13B1"/>
    <w:rsid w:val="001E266D"/>
    <w:rsid w:val="001E3D1D"/>
    <w:rsid w:val="001E5007"/>
    <w:rsid w:val="001E6875"/>
    <w:rsid w:val="001E708B"/>
    <w:rsid w:val="001F0BDE"/>
    <w:rsid w:val="001F2D0D"/>
    <w:rsid w:val="001F3641"/>
    <w:rsid w:val="001F3A19"/>
    <w:rsid w:val="001F4345"/>
    <w:rsid w:val="001F53B0"/>
    <w:rsid w:val="00203C98"/>
    <w:rsid w:val="002076FC"/>
    <w:rsid w:val="0021373A"/>
    <w:rsid w:val="00214AA8"/>
    <w:rsid w:val="0021768D"/>
    <w:rsid w:val="00222C4C"/>
    <w:rsid w:val="002232A4"/>
    <w:rsid w:val="00224AF0"/>
    <w:rsid w:val="00230683"/>
    <w:rsid w:val="0023187E"/>
    <w:rsid w:val="00233487"/>
    <w:rsid w:val="0023391C"/>
    <w:rsid w:val="0023414E"/>
    <w:rsid w:val="00234467"/>
    <w:rsid w:val="00235007"/>
    <w:rsid w:val="00237D8D"/>
    <w:rsid w:val="00240122"/>
    <w:rsid w:val="00240A07"/>
    <w:rsid w:val="00241672"/>
    <w:rsid w:val="00241DA2"/>
    <w:rsid w:val="00243717"/>
    <w:rsid w:val="00244BC6"/>
    <w:rsid w:val="00244E53"/>
    <w:rsid w:val="00246BD0"/>
    <w:rsid w:val="00247A16"/>
    <w:rsid w:val="00247FEE"/>
    <w:rsid w:val="00250E7D"/>
    <w:rsid w:val="00253190"/>
    <w:rsid w:val="0025438A"/>
    <w:rsid w:val="0025502F"/>
    <w:rsid w:val="002565D5"/>
    <w:rsid w:val="00256FA5"/>
    <w:rsid w:val="00261A21"/>
    <w:rsid w:val="002622C0"/>
    <w:rsid w:val="00264C54"/>
    <w:rsid w:val="00265BFC"/>
    <w:rsid w:val="00266D1F"/>
    <w:rsid w:val="00270755"/>
    <w:rsid w:val="00270F11"/>
    <w:rsid w:val="00272832"/>
    <w:rsid w:val="002735FB"/>
    <w:rsid w:val="00274DBC"/>
    <w:rsid w:val="002757B4"/>
    <w:rsid w:val="002778AE"/>
    <w:rsid w:val="00277B92"/>
    <w:rsid w:val="002824EF"/>
    <w:rsid w:val="0028269A"/>
    <w:rsid w:val="00282EE8"/>
    <w:rsid w:val="00283590"/>
    <w:rsid w:val="00283E69"/>
    <w:rsid w:val="0028484A"/>
    <w:rsid w:val="002860AD"/>
    <w:rsid w:val="00286973"/>
    <w:rsid w:val="00292478"/>
    <w:rsid w:val="00292BF4"/>
    <w:rsid w:val="002945BE"/>
    <w:rsid w:val="00294A48"/>
    <w:rsid w:val="00294B79"/>
    <w:rsid w:val="00294E70"/>
    <w:rsid w:val="002962D6"/>
    <w:rsid w:val="002A1588"/>
    <w:rsid w:val="002A1924"/>
    <w:rsid w:val="002A1F66"/>
    <w:rsid w:val="002A2A91"/>
    <w:rsid w:val="002A3149"/>
    <w:rsid w:val="002A3850"/>
    <w:rsid w:val="002A5034"/>
    <w:rsid w:val="002A508F"/>
    <w:rsid w:val="002A53F1"/>
    <w:rsid w:val="002A5993"/>
    <w:rsid w:val="002A6E8E"/>
    <w:rsid w:val="002A7420"/>
    <w:rsid w:val="002A7E89"/>
    <w:rsid w:val="002B07AB"/>
    <w:rsid w:val="002B0F12"/>
    <w:rsid w:val="002B1308"/>
    <w:rsid w:val="002B34E8"/>
    <w:rsid w:val="002B4554"/>
    <w:rsid w:val="002B58E9"/>
    <w:rsid w:val="002B5955"/>
    <w:rsid w:val="002C1C89"/>
    <w:rsid w:val="002C1EC6"/>
    <w:rsid w:val="002C2E0C"/>
    <w:rsid w:val="002C4195"/>
    <w:rsid w:val="002C439A"/>
    <w:rsid w:val="002C43CC"/>
    <w:rsid w:val="002C461B"/>
    <w:rsid w:val="002C4E35"/>
    <w:rsid w:val="002C72D8"/>
    <w:rsid w:val="002D11FA"/>
    <w:rsid w:val="002D286C"/>
    <w:rsid w:val="002D3749"/>
    <w:rsid w:val="002D44C1"/>
    <w:rsid w:val="002D65C9"/>
    <w:rsid w:val="002D783E"/>
    <w:rsid w:val="002E0DDF"/>
    <w:rsid w:val="002E1109"/>
    <w:rsid w:val="002E2906"/>
    <w:rsid w:val="002E363B"/>
    <w:rsid w:val="002E433E"/>
    <w:rsid w:val="002E5495"/>
    <w:rsid w:val="002E5635"/>
    <w:rsid w:val="002E5D24"/>
    <w:rsid w:val="002E64C3"/>
    <w:rsid w:val="002E6A2C"/>
    <w:rsid w:val="002E6F63"/>
    <w:rsid w:val="002F1D8C"/>
    <w:rsid w:val="002F1EEF"/>
    <w:rsid w:val="002F21DA"/>
    <w:rsid w:val="002F3F68"/>
    <w:rsid w:val="003002AC"/>
    <w:rsid w:val="00301951"/>
    <w:rsid w:val="00301F39"/>
    <w:rsid w:val="00302430"/>
    <w:rsid w:val="00302B0A"/>
    <w:rsid w:val="00303199"/>
    <w:rsid w:val="00303446"/>
    <w:rsid w:val="003047CC"/>
    <w:rsid w:val="00305673"/>
    <w:rsid w:val="003057C2"/>
    <w:rsid w:val="00306A50"/>
    <w:rsid w:val="00307611"/>
    <w:rsid w:val="00307877"/>
    <w:rsid w:val="00307C4E"/>
    <w:rsid w:val="00310A36"/>
    <w:rsid w:val="00311BD5"/>
    <w:rsid w:val="00312FE1"/>
    <w:rsid w:val="0031524D"/>
    <w:rsid w:val="00317876"/>
    <w:rsid w:val="00317AFF"/>
    <w:rsid w:val="00317C56"/>
    <w:rsid w:val="00320A72"/>
    <w:rsid w:val="00321931"/>
    <w:rsid w:val="00325926"/>
    <w:rsid w:val="003259AE"/>
    <w:rsid w:val="00325D23"/>
    <w:rsid w:val="00327A8A"/>
    <w:rsid w:val="0033085C"/>
    <w:rsid w:val="00331F27"/>
    <w:rsid w:val="00331F8A"/>
    <w:rsid w:val="0033268D"/>
    <w:rsid w:val="00333B36"/>
    <w:rsid w:val="00336610"/>
    <w:rsid w:val="003369E5"/>
    <w:rsid w:val="00336A4B"/>
    <w:rsid w:val="00336D4A"/>
    <w:rsid w:val="003415F4"/>
    <w:rsid w:val="00343F73"/>
    <w:rsid w:val="00344F84"/>
    <w:rsid w:val="00345060"/>
    <w:rsid w:val="00347517"/>
    <w:rsid w:val="00350421"/>
    <w:rsid w:val="0035110D"/>
    <w:rsid w:val="0035323B"/>
    <w:rsid w:val="0035486C"/>
    <w:rsid w:val="003576FB"/>
    <w:rsid w:val="003609D2"/>
    <w:rsid w:val="00363F22"/>
    <w:rsid w:val="00364655"/>
    <w:rsid w:val="00367B3D"/>
    <w:rsid w:val="003717DA"/>
    <w:rsid w:val="00372D3D"/>
    <w:rsid w:val="00373CCC"/>
    <w:rsid w:val="003740A1"/>
    <w:rsid w:val="00375564"/>
    <w:rsid w:val="0038015B"/>
    <w:rsid w:val="00380564"/>
    <w:rsid w:val="003827DC"/>
    <w:rsid w:val="00383191"/>
    <w:rsid w:val="00384AF3"/>
    <w:rsid w:val="00385C12"/>
    <w:rsid w:val="00385C5B"/>
    <w:rsid w:val="00385CA3"/>
    <w:rsid w:val="00386391"/>
    <w:rsid w:val="00386DED"/>
    <w:rsid w:val="00390089"/>
    <w:rsid w:val="003912E7"/>
    <w:rsid w:val="00392137"/>
    <w:rsid w:val="00393947"/>
    <w:rsid w:val="003954FA"/>
    <w:rsid w:val="00395A3E"/>
    <w:rsid w:val="00397DDA"/>
    <w:rsid w:val="003A0FF2"/>
    <w:rsid w:val="003A2275"/>
    <w:rsid w:val="003A3271"/>
    <w:rsid w:val="003A6A4F"/>
    <w:rsid w:val="003A7088"/>
    <w:rsid w:val="003B00DF"/>
    <w:rsid w:val="003B1275"/>
    <w:rsid w:val="003B1778"/>
    <w:rsid w:val="003B1E50"/>
    <w:rsid w:val="003B1E8E"/>
    <w:rsid w:val="003B3BAD"/>
    <w:rsid w:val="003B71C3"/>
    <w:rsid w:val="003C11CB"/>
    <w:rsid w:val="003C210E"/>
    <w:rsid w:val="003C39B1"/>
    <w:rsid w:val="003C3DFA"/>
    <w:rsid w:val="003C602E"/>
    <w:rsid w:val="003C75F3"/>
    <w:rsid w:val="003C7624"/>
    <w:rsid w:val="003C78A3"/>
    <w:rsid w:val="003D37B7"/>
    <w:rsid w:val="003D40DA"/>
    <w:rsid w:val="003D496B"/>
    <w:rsid w:val="003D7852"/>
    <w:rsid w:val="003E0212"/>
    <w:rsid w:val="003E1867"/>
    <w:rsid w:val="003E4E01"/>
    <w:rsid w:val="003E5729"/>
    <w:rsid w:val="003E5C59"/>
    <w:rsid w:val="003F4EE0"/>
    <w:rsid w:val="003F557A"/>
    <w:rsid w:val="003F69B4"/>
    <w:rsid w:val="003F7005"/>
    <w:rsid w:val="00402153"/>
    <w:rsid w:val="00402E30"/>
    <w:rsid w:val="00402FC1"/>
    <w:rsid w:val="004042BC"/>
    <w:rsid w:val="004042D5"/>
    <w:rsid w:val="00405EE4"/>
    <w:rsid w:val="00406662"/>
    <w:rsid w:val="004067A8"/>
    <w:rsid w:val="004071DF"/>
    <w:rsid w:val="004072F5"/>
    <w:rsid w:val="00410D92"/>
    <w:rsid w:val="004116D8"/>
    <w:rsid w:val="00411E10"/>
    <w:rsid w:val="00412073"/>
    <w:rsid w:val="00414805"/>
    <w:rsid w:val="004205F8"/>
    <w:rsid w:val="004216B8"/>
    <w:rsid w:val="00422337"/>
    <w:rsid w:val="00423FFD"/>
    <w:rsid w:val="00425082"/>
    <w:rsid w:val="004253A8"/>
    <w:rsid w:val="00431294"/>
    <w:rsid w:val="00431DEB"/>
    <w:rsid w:val="00433FA9"/>
    <w:rsid w:val="00435358"/>
    <w:rsid w:val="00435912"/>
    <w:rsid w:val="004413D7"/>
    <w:rsid w:val="004436C2"/>
    <w:rsid w:val="00444109"/>
    <w:rsid w:val="0044476C"/>
    <w:rsid w:val="00445765"/>
    <w:rsid w:val="00446B29"/>
    <w:rsid w:val="00446B3A"/>
    <w:rsid w:val="00447DE9"/>
    <w:rsid w:val="004502BB"/>
    <w:rsid w:val="0045037B"/>
    <w:rsid w:val="004506E5"/>
    <w:rsid w:val="00450EEB"/>
    <w:rsid w:val="00453F9A"/>
    <w:rsid w:val="00454EAA"/>
    <w:rsid w:val="00455A3E"/>
    <w:rsid w:val="004566E8"/>
    <w:rsid w:val="00461141"/>
    <w:rsid w:val="0046268A"/>
    <w:rsid w:val="00463E30"/>
    <w:rsid w:val="004646FA"/>
    <w:rsid w:val="004657E4"/>
    <w:rsid w:val="00465C13"/>
    <w:rsid w:val="00467B9B"/>
    <w:rsid w:val="00470B2D"/>
    <w:rsid w:val="0047133C"/>
    <w:rsid w:val="00471E91"/>
    <w:rsid w:val="004721F9"/>
    <w:rsid w:val="004743B7"/>
    <w:rsid w:val="00474675"/>
    <w:rsid w:val="0047470C"/>
    <w:rsid w:val="0047509A"/>
    <w:rsid w:val="00475708"/>
    <w:rsid w:val="00477B52"/>
    <w:rsid w:val="00482218"/>
    <w:rsid w:val="00482767"/>
    <w:rsid w:val="00485C66"/>
    <w:rsid w:val="004871FB"/>
    <w:rsid w:val="00487DFD"/>
    <w:rsid w:val="00491BCD"/>
    <w:rsid w:val="00495C54"/>
    <w:rsid w:val="0049601D"/>
    <w:rsid w:val="00496B8D"/>
    <w:rsid w:val="00497BB0"/>
    <w:rsid w:val="004A0715"/>
    <w:rsid w:val="004A25F8"/>
    <w:rsid w:val="004A35F9"/>
    <w:rsid w:val="004A5E86"/>
    <w:rsid w:val="004A7C99"/>
    <w:rsid w:val="004A7F1E"/>
    <w:rsid w:val="004B0A34"/>
    <w:rsid w:val="004B14B1"/>
    <w:rsid w:val="004B1BEB"/>
    <w:rsid w:val="004B1E0F"/>
    <w:rsid w:val="004B24C1"/>
    <w:rsid w:val="004B2B71"/>
    <w:rsid w:val="004B3D88"/>
    <w:rsid w:val="004B52D7"/>
    <w:rsid w:val="004B6903"/>
    <w:rsid w:val="004C12B6"/>
    <w:rsid w:val="004C15E9"/>
    <w:rsid w:val="004C26AE"/>
    <w:rsid w:val="004C292F"/>
    <w:rsid w:val="004C46EE"/>
    <w:rsid w:val="004C7ABE"/>
    <w:rsid w:val="004D1FE8"/>
    <w:rsid w:val="004D33B9"/>
    <w:rsid w:val="004D5744"/>
    <w:rsid w:val="004D6350"/>
    <w:rsid w:val="004D7F4F"/>
    <w:rsid w:val="004E17A8"/>
    <w:rsid w:val="004E5F73"/>
    <w:rsid w:val="004E604E"/>
    <w:rsid w:val="004E64B1"/>
    <w:rsid w:val="004E6B60"/>
    <w:rsid w:val="004E6CE8"/>
    <w:rsid w:val="004E72B3"/>
    <w:rsid w:val="004F0436"/>
    <w:rsid w:val="004F1051"/>
    <w:rsid w:val="004F12DD"/>
    <w:rsid w:val="004F1992"/>
    <w:rsid w:val="004F4B55"/>
    <w:rsid w:val="004F543A"/>
    <w:rsid w:val="004F6442"/>
    <w:rsid w:val="004F64AC"/>
    <w:rsid w:val="004F7155"/>
    <w:rsid w:val="005001C2"/>
    <w:rsid w:val="005059B9"/>
    <w:rsid w:val="00505CAF"/>
    <w:rsid w:val="00507CC5"/>
    <w:rsid w:val="00510280"/>
    <w:rsid w:val="00511D8B"/>
    <w:rsid w:val="00511FCF"/>
    <w:rsid w:val="00513B56"/>
    <w:rsid w:val="00513D6C"/>
    <w:rsid w:val="00513D73"/>
    <w:rsid w:val="00514A43"/>
    <w:rsid w:val="00516D72"/>
    <w:rsid w:val="005174E5"/>
    <w:rsid w:val="00517D86"/>
    <w:rsid w:val="00520500"/>
    <w:rsid w:val="00522393"/>
    <w:rsid w:val="00522620"/>
    <w:rsid w:val="00523BEE"/>
    <w:rsid w:val="00525656"/>
    <w:rsid w:val="00527151"/>
    <w:rsid w:val="0052724F"/>
    <w:rsid w:val="00527626"/>
    <w:rsid w:val="00530A6F"/>
    <w:rsid w:val="0053366A"/>
    <w:rsid w:val="00533E64"/>
    <w:rsid w:val="00534C02"/>
    <w:rsid w:val="00536E70"/>
    <w:rsid w:val="0054264B"/>
    <w:rsid w:val="00543786"/>
    <w:rsid w:val="005447D3"/>
    <w:rsid w:val="005453EF"/>
    <w:rsid w:val="00545CEE"/>
    <w:rsid w:val="00545D27"/>
    <w:rsid w:val="00546090"/>
    <w:rsid w:val="005469BA"/>
    <w:rsid w:val="005478D9"/>
    <w:rsid w:val="00551FDA"/>
    <w:rsid w:val="005533D7"/>
    <w:rsid w:val="00553AB6"/>
    <w:rsid w:val="005540D0"/>
    <w:rsid w:val="005550D3"/>
    <w:rsid w:val="00555C9C"/>
    <w:rsid w:val="0056074A"/>
    <w:rsid w:val="005637D7"/>
    <w:rsid w:val="005645CB"/>
    <w:rsid w:val="00565275"/>
    <w:rsid w:val="00566D55"/>
    <w:rsid w:val="005703DE"/>
    <w:rsid w:val="005710B0"/>
    <w:rsid w:val="00575F44"/>
    <w:rsid w:val="00576CC8"/>
    <w:rsid w:val="00576E96"/>
    <w:rsid w:val="00581A72"/>
    <w:rsid w:val="00581BF9"/>
    <w:rsid w:val="00582DF2"/>
    <w:rsid w:val="00583BE3"/>
    <w:rsid w:val="00583DF6"/>
    <w:rsid w:val="00584429"/>
    <w:rsid w:val="005845AF"/>
    <w:rsid w:val="0058464E"/>
    <w:rsid w:val="00585DE6"/>
    <w:rsid w:val="00587E4F"/>
    <w:rsid w:val="00590262"/>
    <w:rsid w:val="005903A0"/>
    <w:rsid w:val="005926B0"/>
    <w:rsid w:val="0059282C"/>
    <w:rsid w:val="00593B48"/>
    <w:rsid w:val="005946E4"/>
    <w:rsid w:val="00594CEF"/>
    <w:rsid w:val="00595802"/>
    <w:rsid w:val="00596C63"/>
    <w:rsid w:val="00596EE6"/>
    <w:rsid w:val="00597E74"/>
    <w:rsid w:val="005A01CB"/>
    <w:rsid w:val="005A47A0"/>
    <w:rsid w:val="005A58FF"/>
    <w:rsid w:val="005A5EAF"/>
    <w:rsid w:val="005A64C0"/>
    <w:rsid w:val="005B03E4"/>
    <w:rsid w:val="005B04EA"/>
    <w:rsid w:val="005B0C4E"/>
    <w:rsid w:val="005B2122"/>
    <w:rsid w:val="005B3C11"/>
    <w:rsid w:val="005B4018"/>
    <w:rsid w:val="005B611D"/>
    <w:rsid w:val="005B666E"/>
    <w:rsid w:val="005C1C28"/>
    <w:rsid w:val="005C2483"/>
    <w:rsid w:val="005C26D1"/>
    <w:rsid w:val="005C3CE7"/>
    <w:rsid w:val="005C4153"/>
    <w:rsid w:val="005C4249"/>
    <w:rsid w:val="005C4690"/>
    <w:rsid w:val="005C6DB5"/>
    <w:rsid w:val="005C7A6B"/>
    <w:rsid w:val="005D0189"/>
    <w:rsid w:val="005D0752"/>
    <w:rsid w:val="005D2319"/>
    <w:rsid w:val="005D28AC"/>
    <w:rsid w:val="005D5288"/>
    <w:rsid w:val="005E0014"/>
    <w:rsid w:val="005E055C"/>
    <w:rsid w:val="005E0A58"/>
    <w:rsid w:val="005E177C"/>
    <w:rsid w:val="005E19E7"/>
    <w:rsid w:val="005E4260"/>
    <w:rsid w:val="005E4CED"/>
    <w:rsid w:val="005E6522"/>
    <w:rsid w:val="005F0D35"/>
    <w:rsid w:val="005F16B8"/>
    <w:rsid w:val="005F2A15"/>
    <w:rsid w:val="005F3C1C"/>
    <w:rsid w:val="005F51EE"/>
    <w:rsid w:val="005F6FA4"/>
    <w:rsid w:val="006005A3"/>
    <w:rsid w:val="006005D5"/>
    <w:rsid w:val="00600F07"/>
    <w:rsid w:val="00601569"/>
    <w:rsid w:val="0061400A"/>
    <w:rsid w:val="00614126"/>
    <w:rsid w:val="006165F5"/>
    <w:rsid w:val="0061716C"/>
    <w:rsid w:val="00617813"/>
    <w:rsid w:val="006209BF"/>
    <w:rsid w:val="00622336"/>
    <w:rsid w:val="006235D5"/>
    <w:rsid w:val="006236F0"/>
    <w:rsid w:val="006243A1"/>
    <w:rsid w:val="006257D4"/>
    <w:rsid w:val="00625D6E"/>
    <w:rsid w:val="0062604B"/>
    <w:rsid w:val="00627122"/>
    <w:rsid w:val="006274FA"/>
    <w:rsid w:val="0062778E"/>
    <w:rsid w:val="00632E56"/>
    <w:rsid w:val="0063336A"/>
    <w:rsid w:val="00634061"/>
    <w:rsid w:val="00634FFD"/>
    <w:rsid w:val="00635CBA"/>
    <w:rsid w:val="00637056"/>
    <w:rsid w:val="00637777"/>
    <w:rsid w:val="00637A2C"/>
    <w:rsid w:val="00640E56"/>
    <w:rsid w:val="00641755"/>
    <w:rsid w:val="006419D9"/>
    <w:rsid w:val="006430F0"/>
    <w:rsid w:val="0064338B"/>
    <w:rsid w:val="00643CBA"/>
    <w:rsid w:val="006445BE"/>
    <w:rsid w:val="00645F7C"/>
    <w:rsid w:val="00646542"/>
    <w:rsid w:val="00646652"/>
    <w:rsid w:val="006504F4"/>
    <w:rsid w:val="006506ED"/>
    <w:rsid w:val="006516A0"/>
    <w:rsid w:val="00653E56"/>
    <w:rsid w:val="00654BC9"/>
    <w:rsid w:val="0065514A"/>
    <w:rsid w:val="006552FD"/>
    <w:rsid w:val="00655E86"/>
    <w:rsid w:val="00656250"/>
    <w:rsid w:val="00661650"/>
    <w:rsid w:val="00662B04"/>
    <w:rsid w:val="00663AF3"/>
    <w:rsid w:val="00666B6C"/>
    <w:rsid w:val="006709D3"/>
    <w:rsid w:val="00670C83"/>
    <w:rsid w:val="00670E70"/>
    <w:rsid w:val="00671509"/>
    <w:rsid w:val="00671AED"/>
    <w:rsid w:val="0067390D"/>
    <w:rsid w:val="00674EF0"/>
    <w:rsid w:val="00676FCC"/>
    <w:rsid w:val="006805C0"/>
    <w:rsid w:val="00680E1A"/>
    <w:rsid w:val="00682682"/>
    <w:rsid w:val="00682702"/>
    <w:rsid w:val="00682CAE"/>
    <w:rsid w:val="0068457E"/>
    <w:rsid w:val="00685A5D"/>
    <w:rsid w:val="006863BF"/>
    <w:rsid w:val="00686AF4"/>
    <w:rsid w:val="00690C9F"/>
    <w:rsid w:val="00692368"/>
    <w:rsid w:val="00694F7D"/>
    <w:rsid w:val="006960FB"/>
    <w:rsid w:val="00697191"/>
    <w:rsid w:val="006A2CED"/>
    <w:rsid w:val="006A2EBC"/>
    <w:rsid w:val="006A3377"/>
    <w:rsid w:val="006A40D0"/>
    <w:rsid w:val="006A5EA0"/>
    <w:rsid w:val="006A6E5D"/>
    <w:rsid w:val="006A783B"/>
    <w:rsid w:val="006A7AE7"/>
    <w:rsid w:val="006A7B33"/>
    <w:rsid w:val="006A7DFE"/>
    <w:rsid w:val="006B28D2"/>
    <w:rsid w:val="006B3BD9"/>
    <w:rsid w:val="006B4E13"/>
    <w:rsid w:val="006B5C44"/>
    <w:rsid w:val="006B75DD"/>
    <w:rsid w:val="006C18F7"/>
    <w:rsid w:val="006C1C0E"/>
    <w:rsid w:val="006C31DF"/>
    <w:rsid w:val="006C35B2"/>
    <w:rsid w:val="006C3ABE"/>
    <w:rsid w:val="006C4A07"/>
    <w:rsid w:val="006C67E0"/>
    <w:rsid w:val="006C7128"/>
    <w:rsid w:val="006C7ABA"/>
    <w:rsid w:val="006C7E26"/>
    <w:rsid w:val="006C7FC4"/>
    <w:rsid w:val="006D00A6"/>
    <w:rsid w:val="006D0CF5"/>
    <w:rsid w:val="006D0D60"/>
    <w:rsid w:val="006D1122"/>
    <w:rsid w:val="006D3C00"/>
    <w:rsid w:val="006D3CF8"/>
    <w:rsid w:val="006D4809"/>
    <w:rsid w:val="006D6CF4"/>
    <w:rsid w:val="006D7252"/>
    <w:rsid w:val="006E0817"/>
    <w:rsid w:val="006E2CEF"/>
    <w:rsid w:val="006E2DE0"/>
    <w:rsid w:val="006E2FBC"/>
    <w:rsid w:val="006E35F4"/>
    <w:rsid w:val="006E3675"/>
    <w:rsid w:val="006E4A7F"/>
    <w:rsid w:val="006E70B0"/>
    <w:rsid w:val="006F0FA4"/>
    <w:rsid w:val="006F1438"/>
    <w:rsid w:val="006F267F"/>
    <w:rsid w:val="006F5EFF"/>
    <w:rsid w:val="006F724A"/>
    <w:rsid w:val="007004F1"/>
    <w:rsid w:val="00700D70"/>
    <w:rsid w:val="007032E9"/>
    <w:rsid w:val="00704DF6"/>
    <w:rsid w:val="0070651C"/>
    <w:rsid w:val="0071068B"/>
    <w:rsid w:val="00711342"/>
    <w:rsid w:val="007116AE"/>
    <w:rsid w:val="007123AB"/>
    <w:rsid w:val="00712B5D"/>
    <w:rsid w:val="00712B6B"/>
    <w:rsid w:val="007132A3"/>
    <w:rsid w:val="00713712"/>
    <w:rsid w:val="00713862"/>
    <w:rsid w:val="0071404E"/>
    <w:rsid w:val="00716421"/>
    <w:rsid w:val="0072047B"/>
    <w:rsid w:val="00720EFC"/>
    <w:rsid w:val="007214D4"/>
    <w:rsid w:val="00724D58"/>
    <w:rsid w:val="00724EFB"/>
    <w:rsid w:val="00726A4D"/>
    <w:rsid w:val="00731F38"/>
    <w:rsid w:val="007338F4"/>
    <w:rsid w:val="00736B94"/>
    <w:rsid w:val="00736E04"/>
    <w:rsid w:val="007400A3"/>
    <w:rsid w:val="00740DC4"/>
    <w:rsid w:val="00740F67"/>
    <w:rsid w:val="007419C3"/>
    <w:rsid w:val="00744F22"/>
    <w:rsid w:val="007467A7"/>
    <w:rsid w:val="007469DD"/>
    <w:rsid w:val="0074741B"/>
    <w:rsid w:val="0074759E"/>
    <w:rsid w:val="007478EA"/>
    <w:rsid w:val="0075039F"/>
    <w:rsid w:val="007539B0"/>
    <w:rsid w:val="0075415C"/>
    <w:rsid w:val="00754A3C"/>
    <w:rsid w:val="00755A35"/>
    <w:rsid w:val="00756EAF"/>
    <w:rsid w:val="00757841"/>
    <w:rsid w:val="00757FE1"/>
    <w:rsid w:val="007611C8"/>
    <w:rsid w:val="00763502"/>
    <w:rsid w:val="0076526D"/>
    <w:rsid w:val="007675B8"/>
    <w:rsid w:val="007700B5"/>
    <w:rsid w:val="0077256C"/>
    <w:rsid w:val="0077265E"/>
    <w:rsid w:val="00775E28"/>
    <w:rsid w:val="007761B3"/>
    <w:rsid w:val="0077620D"/>
    <w:rsid w:val="0078042C"/>
    <w:rsid w:val="00780BF9"/>
    <w:rsid w:val="00780CA0"/>
    <w:rsid w:val="00781B9A"/>
    <w:rsid w:val="0078287A"/>
    <w:rsid w:val="00782AC0"/>
    <w:rsid w:val="00785125"/>
    <w:rsid w:val="00786A62"/>
    <w:rsid w:val="00787E84"/>
    <w:rsid w:val="0079130E"/>
    <w:rsid w:val="007913AB"/>
    <w:rsid w:val="007914F7"/>
    <w:rsid w:val="00793168"/>
    <w:rsid w:val="007938A5"/>
    <w:rsid w:val="007944C1"/>
    <w:rsid w:val="00794D39"/>
    <w:rsid w:val="00797076"/>
    <w:rsid w:val="00797083"/>
    <w:rsid w:val="007A123B"/>
    <w:rsid w:val="007A33D3"/>
    <w:rsid w:val="007A4823"/>
    <w:rsid w:val="007A7155"/>
    <w:rsid w:val="007B1625"/>
    <w:rsid w:val="007B2304"/>
    <w:rsid w:val="007B35E3"/>
    <w:rsid w:val="007B3FBA"/>
    <w:rsid w:val="007B5371"/>
    <w:rsid w:val="007B5E4B"/>
    <w:rsid w:val="007B706E"/>
    <w:rsid w:val="007B71EB"/>
    <w:rsid w:val="007B7328"/>
    <w:rsid w:val="007B7E9E"/>
    <w:rsid w:val="007C0D9D"/>
    <w:rsid w:val="007C2483"/>
    <w:rsid w:val="007C3634"/>
    <w:rsid w:val="007C3B49"/>
    <w:rsid w:val="007C57B0"/>
    <w:rsid w:val="007C6205"/>
    <w:rsid w:val="007C632C"/>
    <w:rsid w:val="007C686A"/>
    <w:rsid w:val="007C728E"/>
    <w:rsid w:val="007D2C53"/>
    <w:rsid w:val="007D32EC"/>
    <w:rsid w:val="007D3D60"/>
    <w:rsid w:val="007D454B"/>
    <w:rsid w:val="007D4A32"/>
    <w:rsid w:val="007E1980"/>
    <w:rsid w:val="007E4B76"/>
    <w:rsid w:val="007E5EA8"/>
    <w:rsid w:val="007E6392"/>
    <w:rsid w:val="007E7C9B"/>
    <w:rsid w:val="007F01F3"/>
    <w:rsid w:val="007F0CF1"/>
    <w:rsid w:val="007F12A5"/>
    <w:rsid w:val="007F3924"/>
    <w:rsid w:val="007F4CF1"/>
    <w:rsid w:val="007F57B1"/>
    <w:rsid w:val="007F6A74"/>
    <w:rsid w:val="007F758D"/>
    <w:rsid w:val="007F762F"/>
    <w:rsid w:val="007F7D52"/>
    <w:rsid w:val="007F7E55"/>
    <w:rsid w:val="00800974"/>
    <w:rsid w:val="00800A9B"/>
    <w:rsid w:val="00800B79"/>
    <w:rsid w:val="00802943"/>
    <w:rsid w:val="00802A7B"/>
    <w:rsid w:val="00803F93"/>
    <w:rsid w:val="00804FE5"/>
    <w:rsid w:val="00805F1F"/>
    <w:rsid w:val="0080654C"/>
    <w:rsid w:val="008071C6"/>
    <w:rsid w:val="00807299"/>
    <w:rsid w:val="00807C3D"/>
    <w:rsid w:val="00811C73"/>
    <w:rsid w:val="00813955"/>
    <w:rsid w:val="00814F68"/>
    <w:rsid w:val="00815E2E"/>
    <w:rsid w:val="0081653F"/>
    <w:rsid w:val="008167A0"/>
    <w:rsid w:val="00817A00"/>
    <w:rsid w:val="008206F7"/>
    <w:rsid w:val="00821453"/>
    <w:rsid w:val="008218AB"/>
    <w:rsid w:val="00827E76"/>
    <w:rsid w:val="008307AE"/>
    <w:rsid w:val="0083218A"/>
    <w:rsid w:val="00833123"/>
    <w:rsid w:val="0083591F"/>
    <w:rsid w:val="00835DB3"/>
    <w:rsid w:val="0083617B"/>
    <w:rsid w:val="008369FD"/>
    <w:rsid w:val="008371BD"/>
    <w:rsid w:val="00841BAA"/>
    <w:rsid w:val="0084320E"/>
    <w:rsid w:val="00843BA0"/>
    <w:rsid w:val="00843C74"/>
    <w:rsid w:val="008440F8"/>
    <w:rsid w:val="008452D0"/>
    <w:rsid w:val="008504A8"/>
    <w:rsid w:val="0085065F"/>
    <w:rsid w:val="00851E4C"/>
    <w:rsid w:val="0085282E"/>
    <w:rsid w:val="008532DB"/>
    <w:rsid w:val="008600E0"/>
    <w:rsid w:val="008601E1"/>
    <w:rsid w:val="0086232B"/>
    <w:rsid w:val="00862358"/>
    <w:rsid w:val="00862FAA"/>
    <w:rsid w:val="008642C9"/>
    <w:rsid w:val="0086457C"/>
    <w:rsid w:val="00870B4C"/>
    <w:rsid w:val="00870CA0"/>
    <w:rsid w:val="00871267"/>
    <w:rsid w:val="0087143F"/>
    <w:rsid w:val="0087198C"/>
    <w:rsid w:val="008720F1"/>
    <w:rsid w:val="0087260A"/>
    <w:rsid w:val="00872C1F"/>
    <w:rsid w:val="00873B42"/>
    <w:rsid w:val="00877AC2"/>
    <w:rsid w:val="00883912"/>
    <w:rsid w:val="00884B78"/>
    <w:rsid w:val="008856D8"/>
    <w:rsid w:val="00890280"/>
    <w:rsid w:val="008921D9"/>
    <w:rsid w:val="00892E82"/>
    <w:rsid w:val="00893D9A"/>
    <w:rsid w:val="0089448E"/>
    <w:rsid w:val="008950DA"/>
    <w:rsid w:val="00897AC8"/>
    <w:rsid w:val="008A13E1"/>
    <w:rsid w:val="008A1F76"/>
    <w:rsid w:val="008A4FF7"/>
    <w:rsid w:val="008A7F63"/>
    <w:rsid w:val="008B4444"/>
    <w:rsid w:val="008C1B58"/>
    <w:rsid w:val="008C27A1"/>
    <w:rsid w:val="008C39AE"/>
    <w:rsid w:val="008C3D0B"/>
    <w:rsid w:val="008C4577"/>
    <w:rsid w:val="008C590D"/>
    <w:rsid w:val="008C60EC"/>
    <w:rsid w:val="008C72D6"/>
    <w:rsid w:val="008C7FFD"/>
    <w:rsid w:val="008D39B9"/>
    <w:rsid w:val="008D6979"/>
    <w:rsid w:val="008D6E80"/>
    <w:rsid w:val="008E00D7"/>
    <w:rsid w:val="008E031B"/>
    <w:rsid w:val="008E0F1D"/>
    <w:rsid w:val="008E3FFF"/>
    <w:rsid w:val="008E45E6"/>
    <w:rsid w:val="008E474F"/>
    <w:rsid w:val="008E4F3E"/>
    <w:rsid w:val="008E504A"/>
    <w:rsid w:val="008E5313"/>
    <w:rsid w:val="008E7029"/>
    <w:rsid w:val="008E7EF6"/>
    <w:rsid w:val="008F01EE"/>
    <w:rsid w:val="008F03EA"/>
    <w:rsid w:val="008F0CC4"/>
    <w:rsid w:val="008F1F98"/>
    <w:rsid w:val="008F4C14"/>
    <w:rsid w:val="008F57B8"/>
    <w:rsid w:val="008F6758"/>
    <w:rsid w:val="008F6D7A"/>
    <w:rsid w:val="008F7A10"/>
    <w:rsid w:val="009015F6"/>
    <w:rsid w:val="009027E9"/>
    <w:rsid w:val="00903D1B"/>
    <w:rsid w:val="009040DD"/>
    <w:rsid w:val="009052C2"/>
    <w:rsid w:val="00905B47"/>
    <w:rsid w:val="009060E7"/>
    <w:rsid w:val="00910C8C"/>
    <w:rsid w:val="00911C09"/>
    <w:rsid w:val="0091331C"/>
    <w:rsid w:val="0091429D"/>
    <w:rsid w:val="00922B8B"/>
    <w:rsid w:val="00924B52"/>
    <w:rsid w:val="00926E47"/>
    <w:rsid w:val="009279DE"/>
    <w:rsid w:val="00927A4D"/>
    <w:rsid w:val="00930116"/>
    <w:rsid w:val="00932022"/>
    <w:rsid w:val="009346CE"/>
    <w:rsid w:val="009362A2"/>
    <w:rsid w:val="00936A03"/>
    <w:rsid w:val="00937DE1"/>
    <w:rsid w:val="00941906"/>
    <w:rsid w:val="0094212C"/>
    <w:rsid w:val="00944F10"/>
    <w:rsid w:val="0094621E"/>
    <w:rsid w:val="009465C5"/>
    <w:rsid w:val="009529F2"/>
    <w:rsid w:val="00954689"/>
    <w:rsid w:val="00954753"/>
    <w:rsid w:val="0095490C"/>
    <w:rsid w:val="00957893"/>
    <w:rsid w:val="0096015E"/>
    <w:rsid w:val="00961007"/>
    <w:rsid w:val="009617C9"/>
    <w:rsid w:val="00961C93"/>
    <w:rsid w:val="00962B71"/>
    <w:rsid w:val="0096310A"/>
    <w:rsid w:val="00963A6C"/>
    <w:rsid w:val="00963BDC"/>
    <w:rsid w:val="00965324"/>
    <w:rsid w:val="00965557"/>
    <w:rsid w:val="0096606D"/>
    <w:rsid w:val="009662C0"/>
    <w:rsid w:val="009707B7"/>
    <w:rsid w:val="0097091E"/>
    <w:rsid w:val="009726EC"/>
    <w:rsid w:val="009736D0"/>
    <w:rsid w:val="00973813"/>
    <w:rsid w:val="00974060"/>
    <w:rsid w:val="009760D3"/>
    <w:rsid w:val="00976EFE"/>
    <w:rsid w:val="00977132"/>
    <w:rsid w:val="009812F6"/>
    <w:rsid w:val="00981A4B"/>
    <w:rsid w:val="009824E1"/>
    <w:rsid w:val="00982501"/>
    <w:rsid w:val="0098253C"/>
    <w:rsid w:val="0098343C"/>
    <w:rsid w:val="00986028"/>
    <w:rsid w:val="009863AD"/>
    <w:rsid w:val="00986606"/>
    <w:rsid w:val="009877D3"/>
    <w:rsid w:val="00987BED"/>
    <w:rsid w:val="00991FA3"/>
    <w:rsid w:val="00993E0C"/>
    <w:rsid w:val="00994E8F"/>
    <w:rsid w:val="00994F94"/>
    <w:rsid w:val="009951DC"/>
    <w:rsid w:val="009959BB"/>
    <w:rsid w:val="00997158"/>
    <w:rsid w:val="009A215C"/>
    <w:rsid w:val="009A3726"/>
    <w:rsid w:val="009A3A7C"/>
    <w:rsid w:val="009A4410"/>
    <w:rsid w:val="009A4CD9"/>
    <w:rsid w:val="009A55D8"/>
    <w:rsid w:val="009A5814"/>
    <w:rsid w:val="009A7119"/>
    <w:rsid w:val="009B2ADB"/>
    <w:rsid w:val="009B41D3"/>
    <w:rsid w:val="009B603A"/>
    <w:rsid w:val="009B60DF"/>
    <w:rsid w:val="009C1AB1"/>
    <w:rsid w:val="009C2970"/>
    <w:rsid w:val="009C2D0E"/>
    <w:rsid w:val="009C3DAC"/>
    <w:rsid w:val="009C4060"/>
    <w:rsid w:val="009C42E0"/>
    <w:rsid w:val="009C4951"/>
    <w:rsid w:val="009C5519"/>
    <w:rsid w:val="009C569F"/>
    <w:rsid w:val="009D254C"/>
    <w:rsid w:val="009D3EF3"/>
    <w:rsid w:val="009D5362"/>
    <w:rsid w:val="009D59BB"/>
    <w:rsid w:val="009D6148"/>
    <w:rsid w:val="009D62E7"/>
    <w:rsid w:val="009D71A9"/>
    <w:rsid w:val="009D74F3"/>
    <w:rsid w:val="009E0466"/>
    <w:rsid w:val="009E1415"/>
    <w:rsid w:val="009E6116"/>
    <w:rsid w:val="009E623F"/>
    <w:rsid w:val="009E737D"/>
    <w:rsid w:val="009F2AD5"/>
    <w:rsid w:val="009F382D"/>
    <w:rsid w:val="009F482A"/>
    <w:rsid w:val="009F4EC9"/>
    <w:rsid w:val="009F52FD"/>
    <w:rsid w:val="009F58B6"/>
    <w:rsid w:val="009F5B83"/>
    <w:rsid w:val="00A00C38"/>
    <w:rsid w:val="00A01A7B"/>
    <w:rsid w:val="00A0270F"/>
    <w:rsid w:val="00A02E43"/>
    <w:rsid w:val="00A03C31"/>
    <w:rsid w:val="00A058F8"/>
    <w:rsid w:val="00A065F9"/>
    <w:rsid w:val="00A07F34"/>
    <w:rsid w:val="00A1176B"/>
    <w:rsid w:val="00A11F96"/>
    <w:rsid w:val="00A12A49"/>
    <w:rsid w:val="00A1447B"/>
    <w:rsid w:val="00A1480B"/>
    <w:rsid w:val="00A17411"/>
    <w:rsid w:val="00A20132"/>
    <w:rsid w:val="00A22154"/>
    <w:rsid w:val="00A230EA"/>
    <w:rsid w:val="00A234AC"/>
    <w:rsid w:val="00A25C38"/>
    <w:rsid w:val="00A30AA4"/>
    <w:rsid w:val="00A34CAE"/>
    <w:rsid w:val="00A36BBE"/>
    <w:rsid w:val="00A42846"/>
    <w:rsid w:val="00A42BE8"/>
    <w:rsid w:val="00A4307A"/>
    <w:rsid w:val="00A46025"/>
    <w:rsid w:val="00A47EBB"/>
    <w:rsid w:val="00A5100F"/>
    <w:rsid w:val="00A5153F"/>
    <w:rsid w:val="00A51807"/>
    <w:rsid w:val="00A51CDD"/>
    <w:rsid w:val="00A52E4D"/>
    <w:rsid w:val="00A531F5"/>
    <w:rsid w:val="00A5401E"/>
    <w:rsid w:val="00A56715"/>
    <w:rsid w:val="00A56EBC"/>
    <w:rsid w:val="00A579BF"/>
    <w:rsid w:val="00A57AF6"/>
    <w:rsid w:val="00A57F6B"/>
    <w:rsid w:val="00A60B9B"/>
    <w:rsid w:val="00A67013"/>
    <w:rsid w:val="00A6730D"/>
    <w:rsid w:val="00A7125C"/>
    <w:rsid w:val="00A713B5"/>
    <w:rsid w:val="00A71625"/>
    <w:rsid w:val="00A71B9B"/>
    <w:rsid w:val="00A722BC"/>
    <w:rsid w:val="00A72525"/>
    <w:rsid w:val="00A72FC7"/>
    <w:rsid w:val="00A731DD"/>
    <w:rsid w:val="00A751C7"/>
    <w:rsid w:val="00A77528"/>
    <w:rsid w:val="00A80461"/>
    <w:rsid w:val="00A82709"/>
    <w:rsid w:val="00A83BCA"/>
    <w:rsid w:val="00A8589D"/>
    <w:rsid w:val="00A86000"/>
    <w:rsid w:val="00A8705C"/>
    <w:rsid w:val="00A87844"/>
    <w:rsid w:val="00A87FCE"/>
    <w:rsid w:val="00A90A4D"/>
    <w:rsid w:val="00A92AA4"/>
    <w:rsid w:val="00A93424"/>
    <w:rsid w:val="00A97A7D"/>
    <w:rsid w:val="00A97FF3"/>
    <w:rsid w:val="00AA0053"/>
    <w:rsid w:val="00AA038C"/>
    <w:rsid w:val="00AA1359"/>
    <w:rsid w:val="00AA729C"/>
    <w:rsid w:val="00AA7A09"/>
    <w:rsid w:val="00AB0D73"/>
    <w:rsid w:val="00AB23BA"/>
    <w:rsid w:val="00AB3B50"/>
    <w:rsid w:val="00AB4493"/>
    <w:rsid w:val="00AB451E"/>
    <w:rsid w:val="00AB609E"/>
    <w:rsid w:val="00AB60DD"/>
    <w:rsid w:val="00AB6BC6"/>
    <w:rsid w:val="00AC0135"/>
    <w:rsid w:val="00AC05B1"/>
    <w:rsid w:val="00AC12DB"/>
    <w:rsid w:val="00AC18AC"/>
    <w:rsid w:val="00AC3345"/>
    <w:rsid w:val="00AC39E2"/>
    <w:rsid w:val="00AC6C3C"/>
    <w:rsid w:val="00AC782D"/>
    <w:rsid w:val="00AD09C0"/>
    <w:rsid w:val="00AD0A1C"/>
    <w:rsid w:val="00AD1B84"/>
    <w:rsid w:val="00AD356C"/>
    <w:rsid w:val="00AD5EE0"/>
    <w:rsid w:val="00AD6772"/>
    <w:rsid w:val="00AD7C6A"/>
    <w:rsid w:val="00AE1F39"/>
    <w:rsid w:val="00AE239C"/>
    <w:rsid w:val="00AE2914"/>
    <w:rsid w:val="00AE41A8"/>
    <w:rsid w:val="00AE4BCB"/>
    <w:rsid w:val="00AE52AE"/>
    <w:rsid w:val="00AE6D15"/>
    <w:rsid w:val="00AF0445"/>
    <w:rsid w:val="00AF09AC"/>
    <w:rsid w:val="00AF0D51"/>
    <w:rsid w:val="00AF24C3"/>
    <w:rsid w:val="00AF28CC"/>
    <w:rsid w:val="00AF2CC3"/>
    <w:rsid w:val="00AF6F14"/>
    <w:rsid w:val="00AF70B7"/>
    <w:rsid w:val="00B00CB2"/>
    <w:rsid w:val="00B038A2"/>
    <w:rsid w:val="00B04182"/>
    <w:rsid w:val="00B05F79"/>
    <w:rsid w:val="00B07AE3"/>
    <w:rsid w:val="00B11430"/>
    <w:rsid w:val="00B11DC4"/>
    <w:rsid w:val="00B17EED"/>
    <w:rsid w:val="00B2180E"/>
    <w:rsid w:val="00B21C8F"/>
    <w:rsid w:val="00B26892"/>
    <w:rsid w:val="00B342A9"/>
    <w:rsid w:val="00B353EB"/>
    <w:rsid w:val="00B35557"/>
    <w:rsid w:val="00B36B69"/>
    <w:rsid w:val="00B439C4"/>
    <w:rsid w:val="00B4402A"/>
    <w:rsid w:val="00B4535E"/>
    <w:rsid w:val="00B46A9E"/>
    <w:rsid w:val="00B5010C"/>
    <w:rsid w:val="00B50270"/>
    <w:rsid w:val="00B512F7"/>
    <w:rsid w:val="00B51362"/>
    <w:rsid w:val="00B5140F"/>
    <w:rsid w:val="00B51F79"/>
    <w:rsid w:val="00B52156"/>
    <w:rsid w:val="00B52A8C"/>
    <w:rsid w:val="00B550BF"/>
    <w:rsid w:val="00B55FF1"/>
    <w:rsid w:val="00B636A8"/>
    <w:rsid w:val="00B665C6"/>
    <w:rsid w:val="00B70389"/>
    <w:rsid w:val="00B716EF"/>
    <w:rsid w:val="00B71B9C"/>
    <w:rsid w:val="00B72793"/>
    <w:rsid w:val="00B7532B"/>
    <w:rsid w:val="00B76F74"/>
    <w:rsid w:val="00B7799F"/>
    <w:rsid w:val="00B805AF"/>
    <w:rsid w:val="00B8085C"/>
    <w:rsid w:val="00B8403B"/>
    <w:rsid w:val="00B869EC"/>
    <w:rsid w:val="00B86D06"/>
    <w:rsid w:val="00B912AB"/>
    <w:rsid w:val="00B929BE"/>
    <w:rsid w:val="00B9397A"/>
    <w:rsid w:val="00B942B6"/>
    <w:rsid w:val="00B94A12"/>
    <w:rsid w:val="00B9633D"/>
    <w:rsid w:val="00B97360"/>
    <w:rsid w:val="00BA0B75"/>
    <w:rsid w:val="00BA2029"/>
    <w:rsid w:val="00BA2436"/>
    <w:rsid w:val="00BA2EBE"/>
    <w:rsid w:val="00BA5A88"/>
    <w:rsid w:val="00BB0F28"/>
    <w:rsid w:val="00BB2B48"/>
    <w:rsid w:val="00BB3095"/>
    <w:rsid w:val="00BB3396"/>
    <w:rsid w:val="00BB376D"/>
    <w:rsid w:val="00BB458A"/>
    <w:rsid w:val="00BB66CB"/>
    <w:rsid w:val="00BC4446"/>
    <w:rsid w:val="00BC4DCC"/>
    <w:rsid w:val="00BC5161"/>
    <w:rsid w:val="00BC6781"/>
    <w:rsid w:val="00BC7526"/>
    <w:rsid w:val="00BD00D3"/>
    <w:rsid w:val="00BD11DF"/>
    <w:rsid w:val="00BD1659"/>
    <w:rsid w:val="00BD3AA9"/>
    <w:rsid w:val="00BD4A18"/>
    <w:rsid w:val="00BD4A98"/>
    <w:rsid w:val="00BD5674"/>
    <w:rsid w:val="00BD6DB2"/>
    <w:rsid w:val="00BD7F4D"/>
    <w:rsid w:val="00BE11CF"/>
    <w:rsid w:val="00BE21AB"/>
    <w:rsid w:val="00BE2255"/>
    <w:rsid w:val="00BE24D3"/>
    <w:rsid w:val="00BE3EE4"/>
    <w:rsid w:val="00BE4331"/>
    <w:rsid w:val="00BE55CB"/>
    <w:rsid w:val="00BE579D"/>
    <w:rsid w:val="00BE6303"/>
    <w:rsid w:val="00BE66FA"/>
    <w:rsid w:val="00BE70AD"/>
    <w:rsid w:val="00BE73CB"/>
    <w:rsid w:val="00BF033D"/>
    <w:rsid w:val="00BF1304"/>
    <w:rsid w:val="00BF23AF"/>
    <w:rsid w:val="00BF2BDB"/>
    <w:rsid w:val="00BF617A"/>
    <w:rsid w:val="00BF6364"/>
    <w:rsid w:val="00BF6B46"/>
    <w:rsid w:val="00BF6FCE"/>
    <w:rsid w:val="00BF7B38"/>
    <w:rsid w:val="00C015F3"/>
    <w:rsid w:val="00C029F4"/>
    <w:rsid w:val="00C0379D"/>
    <w:rsid w:val="00C03931"/>
    <w:rsid w:val="00C05FE3"/>
    <w:rsid w:val="00C066E8"/>
    <w:rsid w:val="00C06E81"/>
    <w:rsid w:val="00C10957"/>
    <w:rsid w:val="00C13D31"/>
    <w:rsid w:val="00C14A8F"/>
    <w:rsid w:val="00C1599B"/>
    <w:rsid w:val="00C1728B"/>
    <w:rsid w:val="00C20BA8"/>
    <w:rsid w:val="00C20D71"/>
    <w:rsid w:val="00C2136D"/>
    <w:rsid w:val="00C214EE"/>
    <w:rsid w:val="00C22C22"/>
    <w:rsid w:val="00C2314B"/>
    <w:rsid w:val="00C24971"/>
    <w:rsid w:val="00C26BE5"/>
    <w:rsid w:val="00C26E4D"/>
    <w:rsid w:val="00C2768D"/>
    <w:rsid w:val="00C27909"/>
    <w:rsid w:val="00C27B03"/>
    <w:rsid w:val="00C314E1"/>
    <w:rsid w:val="00C32702"/>
    <w:rsid w:val="00C33A9B"/>
    <w:rsid w:val="00C34397"/>
    <w:rsid w:val="00C358E3"/>
    <w:rsid w:val="00C3788B"/>
    <w:rsid w:val="00C40037"/>
    <w:rsid w:val="00C406D3"/>
    <w:rsid w:val="00C4095D"/>
    <w:rsid w:val="00C4543C"/>
    <w:rsid w:val="00C464EC"/>
    <w:rsid w:val="00C46D40"/>
    <w:rsid w:val="00C5067B"/>
    <w:rsid w:val="00C54B21"/>
    <w:rsid w:val="00C566B8"/>
    <w:rsid w:val="00C601D2"/>
    <w:rsid w:val="00C614C7"/>
    <w:rsid w:val="00C61919"/>
    <w:rsid w:val="00C62A16"/>
    <w:rsid w:val="00C65BCC"/>
    <w:rsid w:val="00C66923"/>
    <w:rsid w:val="00C66970"/>
    <w:rsid w:val="00C70A1F"/>
    <w:rsid w:val="00C7194D"/>
    <w:rsid w:val="00C72CD0"/>
    <w:rsid w:val="00C73B81"/>
    <w:rsid w:val="00C746E7"/>
    <w:rsid w:val="00C763D6"/>
    <w:rsid w:val="00C818D5"/>
    <w:rsid w:val="00C82EFD"/>
    <w:rsid w:val="00C8313E"/>
    <w:rsid w:val="00C8691C"/>
    <w:rsid w:val="00C877E6"/>
    <w:rsid w:val="00C9011D"/>
    <w:rsid w:val="00C90C9D"/>
    <w:rsid w:val="00C91F8C"/>
    <w:rsid w:val="00C93D4F"/>
    <w:rsid w:val="00C9434B"/>
    <w:rsid w:val="00C9626D"/>
    <w:rsid w:val="00CA0D67"/>
    <w:rsid w:val="00CA168A"/>
    <w:rsid w:val="00CA2B6D"/>
    <w:rsid w:val="00CA357E"/>
    <w:rsid w:val="00CA44F9"/>
    <w:rsid w:val="00CA45A6"/>
    <w:rsid w:val="00CA4A69"/>
    <w:rsid w:val="00CA5483"/>
    <w:rsid w:val="00CA64E5"/>
    <w:rsid w:val="00CA78C8"/>
    <w:rsid w:val="00CA7D9E"/>
    <w:rsid w:val="00CB134B"/>
    <w:rsid w:val="00CB56A3"/>
    <w:rsid w:val="00CB56C3"/>
    <w:rsid w:val="00CB67E8"/>
    <w:rsid w:val="00CB772E"/>
    <w:rsid w:val="00CC0362"/>
    <w:rsid w:val="00CC3E0C"/>
    <w:rsid w:val="00CC58D3"/>
    <w:rsid w:val="00CC6BF3"/>
    <w:rsid w:val="00CC784D"/>
    <w:rsid w:val="00CC7909"/>
    <w:rsid w:val="00CD18A4"/>
    <w:rsid w:val="00CD3514"/>
    <w:rsid w:val="00CD37DF"/>
    <w:rsid w:val="00CD558A"/>
    <w:rsid w:val="00CD5B0D"/>
    <w:rsid w:val="00CD7EBA"/>
    <w:rsid w:val="00CE04F7"/>
    <w:rsid w:val="00CE13AF"/>
    <w:rsid w:val="00CE4D29"/>
    <w:rsid w:val="00CE4D48"/>
    <w:rsid w:val="00CE4E36"/>
    <w:rsid w:val="00CF05A8"/>
    <w:rsid w:val="00CF3B02"/>
    <w:rsid w:val="00CF6BE8"/>
    <w:rsid w:val="00CF7541"/>
    <w:rsid w:val="00CF76B1"/>
    <w:rsid w:val="00D0337B"/>
    <w:rsid w:val="00D03B01"/>
    <w:rsid w:val="00D03DB5"/>
    <w:rsid w:val="00D04DFE"/>
    <w:rsid w:val="00D06811"/>
    <w:rsid w:val="00D079B2"/>
    <w:rsid w:val="00D114E9"/>
    <w:rsid w:val="00D127E8"/>
    <w:rsid w:val="00D1311E"/>
    <w:rsid w:val="00D13749"/>
    <w:rsid w:val="00D150E9"/>
    <w:rsid w:val="00D17278"/>
    <w:rsid w:val="00D22D06"/>
    <w:rsid w:val="00D237DD"/>
    <w:rsid w:val="00D23F86"/>
    <w:rsid w:val="00D31345"/>
    <w:rsid w:val="00D31470"/>
    <w:rsid w:val="00D378A3"/>
    <w:rsid w:val="00D37A07"/>
    <w:rsid w:val="00D429C6"/>
    <w:rsid w:val="00D42C14"/>
    <w:rsid w:val="00D42FA0"/>
    <w:rsid w:val="00D4354B"/>
    <w:rsid w:val="00D435AF"/>
    <w:rsid w:val="00D45B3F"/>
    <w:rsid w:val="00D465A6"/>
    <w:rsid w:val="00D47748"/>
    <w:rsid w:val="00D50E66"/>
    <w:rsid w:val="00D52185"/>
    <w:rsid w:val="00D541E6"/>
    <w:rsid w:val="00D54CC3"/>
    <w:rsid w:val="00D55F2A"/>
    <w:rsid w:val="00D6041A"/>
    <w:rsid w:val="00D6229E"/>
    <w:rsid w:val="00D63137"/>
    <w:rsid w:val="00D633EB"/>
    <w:rsid w:val="00D66866"/>
    <w:rsid w:val="00D6701F"/>
    <w:rsid w:val="00D71DBB"/>
    <w:rsid w:val="00D72C3D"/>
    <w:rsid w:val="00D73DCC"/>
    <w:rsid w:val="00D75289"/>
    <w:rsid w:val="00D761A5"/>
    <w:rsid w:val="00D77021"/>
    <w:rsid w:val="00D82FF7"/>
    <w:rsid w:val="00D8336D"/>
    <w:rsid w:val="00D83D75"/>
    <w:rsid w:val="00D847FE"/>
    <w:rsid w:val="00D9181D"/>
    <w:rsid w:val="00D93148"/>
    <w:rsid w:val="00D93314"/>
    <w:rsid w:val="00D955FA"/>
    <w:rsid w:val="00D964EA"/>
    <w:rsid w:val="00D966D0"/>
    <w:rsid w:val="00D97AD6"/>
    <w:rsid w:val="00D97F09"/>
    <w:rsid w:val="00DA0C59"/>
    <w:rsid w:val="00DA3991"/>
    <w:rsid w:val="00DA5CB5"/>
    <w:rsid w:val="00DB0990"/>
    <w:rsid w:val="00DB2858"/>
    <w:rsid w:val="00DB417D"/>
    <w:rsid w:val="00DB55F9"/>
    <w:rsid w:val="00DB6009"/>
    <w:rsid w:val="00DB6326"/>
    <w:rsid w:val="00DB782A"/>
    <w:rsid w:val="00DB7E44"/>
    <w:rsid w:val="00DB7E6C"/>
    <w:rsid w:val="00DC0A64"/>
    <w:rsid w:val="00DC28FC"/>
    <w:rsid w:val="00DC31ED"/>
    <w:rsid w:val="00DC3200"/>
    <w:rsid w:val="00DC5868"/>
    <w:rsid w:val="00DC798F"/>
    <w:rsid w:val="00DD00B0"/>
    <w:rsid w:val="00DD0449"/>
    <w:rsid w:val="00DD08F8"/>
    <w:rsid w:val="00DD157C"/>
    <w:rsid w:val="00DD1766"/>
    <w:rsid w:val="00DD431F"/>
    <w:rsid w:val="00DD4C85"/>
    <w:rsid w:val="00DD5A29"/>
    <w:rsid w:val="00DD5D9D"/>
    <w:rsid w:val="00DD63CC"/>
    <w:rsid w:val="00DE2416"/>
    <w:rsid w:val="00DE35CB"/>
    <w:rsid w:val="00DF21E9"/>
    <w:rsid w:val="00DF37A6"/>
    <w:rsid w:val="00DF3F4A"/>
    <w:rsid w:val="00DF425B"/>
    <w:rsid w:val="00DF57F3"/>
    <w:rsid w:val="00DF6951"/>
    <w:rsid w:val="00E00F14"/>
    <w:rsid w:val="00E01267"/>
    <w:rsid w:val="00E012F4"/>
    <w:rsid w:val="00E03640"/>
    <w:rsid w:val="00E06386"/>
    <w:rsid w:val="00E1058A"/>
    <w:rsid w:val="00E10B9D"/>
    <w:rsid w:val="00E146AE"/>
    <w:rsid w:val="00E148AA"/>
    <w:rsid w:val="00E1559A"/>
    <w:rsid w:val="00E17BB9"/>
    <w:rsid w:val="00E20285"/>
    <w:rsid w:val="00E232F5"/>
    <w:rsid w:val="00E24CB8"/>
    <w:rsid w:val="00E24EB4"/>
    <w:rsid w:val="00E2687C"/>
    <w:rsid w:val="00E27326"/>
    <w:rsid w:val="00E27F7C"/>
    <w:rsid w:val="00E320ED"/>
    <w:rsid w:val="00E3272C"/>
    <w:rsid w:val="00E33AFB"/>
    <w:rsid w:val="00E34218"/>
    <w:rsid w:val="00E36209"/>
    <w:rsid w:val="00E37432"/>
    <w:rsid w:val="00E42A2E"/>
    <w:rsid w:val="00E42EDD"/>
    <w:rsid w:val="00E43E31"/>
    <w:rsid w:val="00E45726"/>
    <w:rsid w:val="00E4595B"/>
    <w:rsid w:val="00E46282"/>
    <w:rsid w:val="00E47121"/>
    <w:rsid w:val="00E47F85"/>
    <w:rsid w:val="00E5061E"/>
    <w:rsid w:val="00E51048"/>
    <w:rsid w:val="00E51397"/>
    <w:rsid w:val="00E51D62"/>
    <w:rsid w:val="00E5216E"/>
    <w:rsid w:val="00E52347"/>
    <w:rsid w:val="00E52A5D"/>
    <w:rsid w:val="00E53AA8"/>
    <w:rsid w:val="00E54462"/>
    <w:rsid w:val="00E55234"/>
    <w:rsid w:val="00E55EEF"/>
    <w:rsid w:val="00E57EBA"/>
    <w:rsid w:val="00E6009B"/>
    <w:rsid w:val="00E60E74"/>
    <w:rsid w:val="00E61797"/>
    <w:rsid w:val="00E63171"/>
    <w:rsid w:val="00E636CC"/>
    <w:rsid w:val="00E63B04"/>
    <w:rsid w:val="00E64DE0"/>
    <w:rsid w:val="00E6530F"/>
    <w:rsid w:val="00E653D0"/>
    <w:rsid w:val="00E65893"/>
    <w:rsid w:val="00E679D2"/>
    <w:rsid w:val="00E704BA"/>
    <w:rsid w:val="00E71FE1"/>
    <w:rsid w:val="00E72F4A"/>
    <w:rsid w:val="00E73516"/>
    <w:rsid w:val="00E76165"/>
    <w:rsid w:val="00E82344"/>
    <w:rsid w:val="00E828DD"/>
    <w:rsid w:val="00E84C82"/>
    <w:rsid w:val="00E84D64"/>
    <w:rsid w:val="00E86A01"/>
    <w:rsid w:val="00E87408"/>
    <w:rsid w:val="00E903AF"/>
    <w:rsid w:val="00E914C4"/>
    <w:rsid w:val="00E934F5"/>
    <w:rsid w:val="00E94ABB"/>
    <w:rsid w:val="00E95149"/>
    <w:rsid w:val="00E95A67"/>
    <w:rsid w:val="00E96961"/>
    <w:rsid w:val="00E97B87"/>
    <w:rsid w:val="00EA0500"/>
    <w:rsid w:val="00EA0EC6"/>
    <w:rsid w:val="00EA0FA3"/>
    <w:rsid w:val="00EA11D0"/>
    <w:rsid w:val="00EA2BE9"/>
    <w:rsid w:val="00EA39BD"/>
    <w:rsid w:val="00EA471E"/>
    <w:rsid w:val="00EA7294"/>
    <w:rsid w:val="00EA72EC"/>
    <w:rsid w:val="00EB11CB"/>
    <w:rsid w:val="00EB275A"/>
    <w:rsid w:val="00EB396D"/>
    <w:rsid w:val="00EB786A"/>
    <w:rsid w:val="00EC0854"/>
    <w:rsid w:val="00EC0FEA"/>
    <w:rsid w:val="00EC1578"/>
    <w:rsid w:val="00EC1C72"/>
    <w:rsid w:val="00EC229F"/>
    <w:rsid w:val="00EC3CC9"/>
    <w:rsid w:val="00EC680A"/>
    <w:rsid w:val="00EC6A30"/>
    <w:rsid w:val="00EC6EAC"/>
    <w:rsid w:val="00ED03D7"/>
    <w:rsid w:val="00ED09D8"/>
    <w:rsid w:val="00ED1044"/>
    <w:rsid w:val="00ED30AD"/>
    <w:rsid w:val="00ED5F14"/>
    <w:rsid w:val="00ED7539"/>
    <w:rsid w:val="00ED7730"/>
    <w:rsid w:val="00EE04E8"/>
    <w:rsid w:val="00EE12C7"/>
    <w:rsid w:val="00EE1632"/>
    <w:rsid w:val="00EE2BED"/>
    <w:rsid w:val="00EE374B"/>
    <w:rsid w:val="00EE79DB"/>
    <w:rsid w:val="00EF02D2"/>
    <w:rsid w:val="00EF5952"/>
    <w:rsid w:val="00EF6A45"/>
    <w:rsid w:val="00EF738F"/>
    <w:rsid w:val="00F00A1D"/>
    <w:rsid w:val="00F020BF"/>
    <w:rsid w:val="00F029BE"/>
    <w:rsid w:val="00F02B1B"/>
    <w:rsid w:val="00F04773"/>
    <w:rsid w:val="00F07B08"/>
    <w:rsid w:val="00F07EF5"/>
    <w:rsid w:val="00F101FF"/>
    <w:rsid w:val="00F10B99"/>
    <w:rsid w:val="00F11BB5"/>
    <w:rsid w:val="00F1274D"/>
    <w:rsid w:val="00F13616"/>
    <w:rsid w:val="00F1417B"/>
    <w:rsid w:val="00F1499F"/>
    <w:rsid w:val="00F20C36"/>
    <w:rsid w:val="00F23CF5"/>
    <w:rsid w:val="00F26A52"/>
    <w:rsid w:val="00F26C2E"/>
    <w:rsid w:val="00F2751A"/>
    <w:rsid w:val="00F316CB"/>
    <w:rsid w:val="00F32D1B"/>
    <w:rsid w:val="00F33CE4"/>
    <w:rsid w:val="00F3419E"/>
    <w:rsid w:val="00F34B99"/>
    <w:rsid w:val="00F35F1B"/>
    <w:rsid w:val="00F368A4"/>
    <w:rsid w:val="00F36D5E"/>
    <w:rsid w:val="00F402A0"/>
    <w:rsid w:val="00F40451"/>
    <w:rsid w:val="00F40C90"/>
    <w:rsid w:val="00F4321B"/>
    <w:rsid w:val="00F4375D"/>
    <w:rsid w:val="00F476D9"/>
    <w:rsid w:val="00F4781C"/>
    <w:rsid w:val="00F51F02"/>
    <w:rsid w:val="00F52DAB"/>
    <w:rsid w:val="00F52EF8"/>
    <w:rsid w:val="00F543F0"/>
    <w:rsid w:val="00F555CD"/>
    <w:rsid w:val="00F560B4"/>
    <w:rsid w:val="00F579FB"/>
    <w:rsid w:val="00F60C2C"/>
    <w:rsid w:val="00F61D6E"/>
    <w:rsid w:val="00F62392"/>
    <w:rsid w:val="00F64AB4"/>
    <w:rsid w:val="00F66EEA"/>
    <w:rsid w:val="00F73701"/>
    <w:rsid w:val="00F737D9"/>
    <w:rsid w:val="00F73C1E"/>
    <w:rsid w:val="00F74948"/>
    <w:rsid w:val="00F75B40"/>
    <w:rsid w:val="00F761A9"/>
    <w:rsid w:val="00F77E59"/>
    <w:rsid w:val="00F801A6"/>
    <w:rsid w:val="00F80D57"/>
    <w:rsid w:val="00F816B4"/>
    <w:rsid w:val="00F81D29"/>
    <w:rsid w:val="00F8449C"/>
    <w:rsid w:val="00F85A82"/>
    <w:rsid w:val="00F8658F"/>
    <w:rsid w:val="00F879DC"/>
    <w:rsid w:val="00F91457"/>
    <w:rsid w:val="00F91C4D"/>
    <w:rsid w:val="00F92FD9"/>
    <w:rsid w:val="00F94463"/>
    <w:rsid w:val="00F97552"/>
    <w:rsid w:val="00F977A7"/>
    <w:rsid w:val="00FA2299"/>
    <w:rsid w:val="00FA239B"/>
    <w:rsid w:val="00FA3365"/>
    <w:rsid w:val="00FA5ABD"/>
    <w:rsid w:val="00FA62AF"/>
    <w:rsid w:val="00FA63A6"/>
    <w:rsid w:val="00FA6684"/>
    <w:rsid w:val="00FA731E"/>
    <w:rsid w:val="00FB16A7"/>
    <w:rsid w:val="00FB1F4E"/>
    <w:rsid w:val="00FB2B38"/>
    <w:rsid w:val="00FB4DD2"/>
    <w:rsid w:val="00FB5995"/>
    <w:rsid w:val="00FB654C"/>
    <w:rsid w:val="00FB6E89"/>
    <w:rsid w:val="00FB7C40"/>
    <w:rsid w:val="00FC1199"/>
    <w:rsid w:val="00FC1D27"/>
    <w:rsid w:val="00FC281C"/>
    <w:rsid w:val="00FC2A5A"/>
    <w:rsid w:val="00FC4A63"/>
    <w:rsid w:val="00FC6358"/>
    <w:rsid w:val="00FC7E1F"/>
    <w:rsid w:val="00FD01CF"/>
    <w:rsid w:val="00FD1A2D"/>
    <w:rsid w:val="00FD320D"/>
    <w:rsid w:val="00FD4732"/>
    <w:rsid w:val="00FD4D7B"/>
    <w:rsid w:val="00FD5E8D"/>
    <w:rsid w:val="00FE02A7"/>
    <w:rsid w:val="00FE23DE"/>
    <w:rsid w:val="00FE4F9C"/>
    <w:rsid w:val="00FE5F66"/>
    <w:rsid w:val="00FE60B7"/>
    <w:rsid w:val="00FE6746"/>
    <w:rsid w:val="00FE7243"/>
    <w:rsid w:val="00FE73F1"/>
    <w:rsid w:val="00FE7790"/>
    <w:rsid w:val="00FE79A4"/>
    <w:rsid w:val="00FF083B"/>
    <w:rsid w:val="00FF0E54"/>
    <w:rsid w:val="00FF1165"/>
    <w:rsid w:val="00FF2863"/>
    <w:rsid w:val="00FF2AA2"/>
    <w:rsid w:val="00FF313E"/>
    <w:rsid w:val="00FF3789"/>
    <w:rsid w:val="00FF3FAA"/>
    <w:rsid w:val="00FF7B1C"/>
    <w:rsid w:val="0D653004"/>
    <w:rsid w:val="21864852"/>
    <w:rsid w:val="3890729D"/>
    <w:rsid w:val="38F64CBF"/>
    <w:rsid w:val="4B6853C4"/>
    <w:rsid w:val="560E16E5"/>
    <w:rsid w:val="59C125EA"/>
    <w:rsid w:val="72565E37"/>
    <w:rsid w:val="79577416"/>
    <w:rsid w:val="7B042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nhideWhenUsed="0" w:uiPriority="0" w:semiHidden="0" w:name="List Bullet 2"/>
    <w:lsdException w:uiPriority="0" w:name="List Bullet 3"/>
    <w:lsdException w:uiPriority="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41"/>
    <w:semiHidden/>
    <w:unhideWhenUsed/>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Plain Text"/>
    <w:basedOn w:val="1"/>
    <w:link w:val="145"/>
    <w:unhideWhenUsed/>
    <w:qFormat/>
    <w:uiPriority w:val="0"/>
    <w:rPr>
      <w:rFonts w:ascii="宋体" w:hAnsi="Courier New" w:cs="Courier New" w:eastAsiaTheme="minorEastAsia"/>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38"/>
    <w:qFormat/>
    <w:uiPriority w:val="0"/>
    <w:rPr>
      <w:sz w:val="18"/>
      <w:szCs w:val="18"/>
    </w:rPr>
  </w:style>
  <w:style w:type="paragraph" w:styleId="17">
    <w:name w:val="footer"/>
    <w:basedOn w:val="1"/>
    <w:qFormat/>
    <w:uiPriority w:val="0"/>
    <w:pPr>
      <w:snapToGrid w:val="0"/>
      <w:ind w:right="210" w:rightChars="100"/>
      <w:jc w:val="right"/>
    </w:pPr>
    <w:rPr>
      <w:sz w:val="18"/>
      <w:szCs w:val="18"/>
    </w:rPr>
  </w:style>
  <w:style w:type="paragraph" w:styleId="18">
    <w:name w:val="header"/>
    <w:basedOn w:val="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semiHidden/>
    <w:qFormat/>
    <w:uiPriority w:val="0"/>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31">
    <w:name w:val="index 2"/>
    <w:basedOn w:val="1"/>
    <w:next w:val="1"/>
    <w:qFormat/>
    <w:uiPriority w:val="0"/>
    <w:pPr>
      <w:ind w:left="420" w:hanging="210"/>
      <w:jc w:val="left"/>
    </w:pPr>
    <w:rPr>
      <w:rFonts w:ascii="Calibri" w:hAnsi="Calibri"/>
      <w:sz w:val="20"/>
      <w:szCs w:val="20"/>
    </w:rPr>
  </w:style>
  <w:style w:type="paragraph" w:styleId="32">
    <w:name w:val="annotation subject"/>
    <w:basedOn w:val="7"/>
    <w:next w:val="7"/>
    <w:link w:val="142"/>
    <w:semiHidden/>
    <w:unhideWhenUsed/>
    <w:qFormat/>
    <w:uiPriority w:val="0"/>
    <w:rPr>
      <w:b/>
      <w:bCs/>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Hyperlink"/>
    <w:qFormat/>
    <w:uiPriority w:val="99"/>
    <w:rPr>
      <w:color w:val="0000FF"/>
      <w:spacing w:val="0"/>
      <w:w w:val="100"/>
      <w:szCs w:val="21"/>
      <w:u w:val="single"/>
    </w:rPr>
  </w:style>
  <w:style w:type="character" w:styleId="40">
    <w:name w:val="annotation reference"/>
    <w:basedOn w:val="35"/>
    <w:semiHidden/>
    <w:unhideWhenUsed/>
    <w:qFormat/>
    <w:uiPriority w:val="0"/>
    <w:rPr>
      <w:sz w:val="21"/>
      <w:szCs w:val="21"/>
    </w:rPr>
  </w:style>
  <w:style w:type="character" w:styleId="41">
    <w:name w:val="footnote reference"/>
    <w:semiHidden/>
    <w:qFormat/>
    <w:uiPriority w:val="0"/>
    <w:rPr>
      <w:vertAlign w:val="superscript"/>
    </w:rPr>
  </w:style>
  <w:style w:type="character" w:customStyle="1" w:styleId="42">
    <w:name w:val="段 Char"/>
    <w:link w:val="23"/>
    <w:qFormat/>
    <w:uiPriority w:val="0"/>
    <w:rPr>
      <w:rFonts w:ascii="宋体"/>
      <w:sz w:val="21"/>
      <w:lang w:val="en-US" w:eastAsia="zh-CN" w:bidi="ar-SA"/>
    </w:rPr>
  </w:style>
  <w:style w:type="paragraph" w:customStyle="1" w:styleId="43">
    <w:name w:val="一级条标题"/>
    <w:next w:val="23"/>
    <w:link w:val="14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3"/>
    <w:qFormat/>
    <w:uiPriority w:val="0"/>
    <w:pPr>
      <w:numPr>
        <w:ilvl w:val="2"/>
      </w:numPr>
      <w:spacing w:before="50" w:after="50"/>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3"/>
    <w:qFormat/>
    <w:uiPriority w:val="0"/>
    <w:pPr>
      <w:numPr>
        <w:ilvl w:val="0"/>
        <w:numId w:val="0"/>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3"/>
    <w:qFormat/>
    <w:uiPriority w:val="0"/>
    <w:pPr>
      <w:numPr>
        <w:ilvl w:val="4"/>
        <w:numId w:val="2"/>
      </w:numPr>
      <w:outlineLvl w:val="5"/>
    </w:pPr>
  </w:style>
  <w:style w:type="paragraph" w:customStyle="1" w:styleId="57">
    <w:name w:val="五级条标题"/>
    <w:basedOn w:val="56"/>
    <w:next w:val="23"/>
    <w:qFormat/>
    <w:uiPriority w:val="0"/>
    <w:pPr>
      <w:numPr>
        <w:ilvl w:val="5"/>
      </w:numPr>
      <w:outlineLvl w:val="6"/>
    </w:pPr>
  </w:style>
  <w:style w:type="paragraph" w:customStyle="1" w:styleId="58">
    <w:name w:val="注："/>
    <w:next w:val="2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6"/>
    <w:qFormat/>
    <w:uiPriority w:val="0"/>
    <w:pPr>
      <w:numPr>
        <w:numId w:val="8"/>
      </w:numPr>
      <w:spacing w:before="0" w:beforeLines="0" w:after="0" w:afterLines="0"/>
      <w:outlineLvl w:val="9"/>
    </w:pPr>
    <w:rPr>
      <w:rFonts w:ascii="宋体" w:eastAsia="宋体"/>
      <w:sz w:val="18"/>
      <w:szCs w:val="18"/>
    </w:rPr>
  </w:style>
  <w:style w:type="paragraph" w:customStyle="1" w:styleId="64">
    <w:name w:val="二级无"/>
    <w:basedOn w:val="47"/>
    <w:qFormat/>
    <w:uiPriority w:val="0"/>
    <w:pPr>
      <w:spacing w:before="0" w:beforeLines="0" w:after="0" w:afterLines="0"/>
      <w:ind w:left="0"/>
    </w:pPr>
    <w:rPr>
      <w:rFonts w:ascii="宋体" w:eastAsia="宋体"/>
    </w:rPr>
  </w:style>
  <w:style w:type="paragraph" w:customStyle="1" w:styleId="65">
    <w:name w:val="注：（正文）"/>
    <w:basedOn w:val="58"/>
    <w:next w:val="23"/>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framePr w:wrap="around"/>
      <w:spacing w:before="370" w:line="400" w:lineRule="exact"/>
    </w:pPr>
    <w:rPr>
      <w:rFonts w:ascii="Times New Roman"/>
      <w:sz w:val="28"/>
      <w:szCs w:val="28"/>
    </w:rPr>
  </w:style>
  <w:style w:type="paragraph" w:customStyle="1" w:styleId="81">
    <w:name w:val="封面一致性程度标识"/>
    <w:basedOn w:val="80"/>
    <w:qFormat/>
    <w:uiPriority w:val="0"/>
    <w:pPr>
      <w:framePr w:wrap="around"/>
      <w:spacing w:before="440"/>
    </w:pPr>
    <w:rPr>
      <w:rFonts w:ascii="宋体" w:eastAsia="宋体"/>
    </w:rPr>
  </w:style>
  <w:style w:type="paragraph" w:customStyle="1" w:styleId="82">
    <w:name w:val="封面标准文稿类别"/>
    <w:basedOn w:val="81"/>
    <w:qFormat/>
    <w:uiPriority w:val="0"/>
    <w:pPr>
      <w:framePr w:wrap="around"/>
      <w:spacing w:after="160" w:line="240" w:lineRule="auto"/>
    </w:pPr>
    <w:rPr>
      <w:sz w:val="24"/>
    </w:rPr>
  </w:style>
  <w:style w:type="paragraph" w:customStyle="1" w:styleId="83">
    <w:name w:val="封面标准文稿编辑信息"/>
    <w:basedOn w:val="82"/>
    <w:qFormat/>
    <w:uiPriority w:val="0"/>
    <w:pPr>
      <w:framePr w:wrap="around"/>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3"/>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3"/>
    <w:next w:val="23"/>
    <w:qFormat/>
    <w:uiPriority w:val="0"/>
    <w:pPr>
      <w:ind w:firstLine="0" w:firstLineChars="0"/>
      <w:jc w:val="center"/>
    </w:pPr>
    <w:rPr>
      <w:rFonts w:ascii="黑体" w:eastAsia="黑体"/>
    </w:rPr>
  </w:style>
  <w:style w:type="paragraph" w:customStyle="1" w:styleId="87">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3"/>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9">
    <w:name w:val="附录二级条标题"/>
    <w:basedOn w:val="1"/>
    <w:next w:val="23"/>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0" w:beforeLines="0" w:after="0" w:afterLines="0"/>
    </w:pPr>
    <w:rPr>
      <w:rFonts w:ascii="宋体" w:eastAsia="宋体"/>
      <w:szCs w:val="21"/>
    </w:rPr>
  </w:style>
  <w:style w:type="paragraph" w:customStyle="1" w:styleId="91">
    <w:name w:val="附录公式"/>
    <w:basedOn w:val="23"/>
    <w:next w:val="23"/>
    <w:link w:val="92"/>
    <w:qFormat/>
    <w:uiPriority w:val="0"/>
  </w:style>
  <w:style w:type="character" w:customStyle="1" w:styleId="92">
    <w:name w:val="附录公式 Char"/>
    <w:basedOn w:val="42"/>
    <w:link w:val="91"/>
    <w:qFormat/>
    <w:uiPriority w:val="0"/>
    <w:rPr>
      <w:rFonts w:ascii="宋体"/>
      <w:sz w:val="21"/>
      <w:lang w:val="en-US" w:eastAsia="zh-CN" w:bidi="ar-SA"/>
    </w:rPr>
  </w:style>
  <w:style w:type="paragraph" w:customStyle="1" w:styleId="93">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3"/>
    <w:qFormat/>
    <w:uiPriority w:val="0"/>
    <w:pPr>
      <w:numPr>
        <w:ilvl w:val="4"/>
      </w:numPr>
      <w:outlineLvl w:val="4"/>
    </w:pPr>
  </w:style>
  <w:style w:type="paragraph" w:customStyle="1" w:styleId="95">
    <w:name w:val="附录三级无"/>
    <w:basedOn w:val="94"/>
    <w:qFormat/>
    <w:uiPriority w:val="0"/>
    <w:pPr>
      <w:tabs>
        <w:tab w:val="clear" w:pos="360"/>
      </w:tabs>
      <w:spacing w:before="0" w:beforeLines="0" w:after="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3"/>
    <w:qFormat/>
    <w:uiPriority w:val="0"/>
    <w:pPr>
      <w:numPr>
        <w:ilvl w:val="5"/>
      </w:numPr>
      <w:outlineLvl w:val="5"/>
    </w:pPr>
  </w:style>
  <w:style w:type="paragraph" w:customStyle="1" w:styleId="98">
    <w:name w:val="附录四级无"/>
    <w:basedOn w:val="97"/>
    <w:qFormat/>
    <w:uiPriority w:val="0"/>
    <w:pPr>
      <w:tabs>
        <w:tab w:val="clear" w:pos="360"/>
      </w:tabs>
      <w:spacing w:before="0" w:beforeLines="0" w:after="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3"/>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1">
    <w:name w:val="附录五级条标题"/>
    <w:basedOn w:val="97"/>
    <w:next w:val="23"/>
    <w:qFormat/>
    <w:uiPriority w:val="0"/>
    <w:pPr>
      <w:numPr>
        <w:ilvl w:val="6"/>
      </w:numPr>
      <w:outlineLvl w:val="6"/>
    </w:pPr>
  </w:style>
  <w:style w:type="paragraph" w:customStyle="1" w:styleId="102">
    <w:name w:val="附录五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章标题"/>
    <w:next w:val="23"/>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3"/>
    <w:qFormat/>
    <w:uiPriority w:val="0"/>
    <w:pPr>
      <w:numPr>
        <w:ilvl w:val="2"/>
      </w:numPr>
      <w:autoSpaceDN w:val="0"/>
      <w:spacing w:before="50" w:beforeLines="50" w:after="50" w:afterLines="50"/>
      <w:outlineLvl w:val="2"/>
    </w:pPr>
  </w:style>
  <w:style w:type="paragraph" w:customStyle="1" w:styleId="105">
    <w:name w:val="附录一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wrap="around" w:y="15310"/>
      <w:spacing w:line="0" w:lineRule="atLeast"/>
    </w:pPr>
    <w:rPr>
      <w:rFonts w:ascii="黑体" w:eastAsia="黑体"/>
      <w:b w:val="0"/>
    </w:rPr>
  </w:style>
  <w:style w:type="paragraph" w:customStyle="1" w:styleId="113">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0" w:beforeLines="0" w:after="0" w:afterLines="0"/>
    </w:pPr>
    <w:rPr>
      <w:rFonts w:ascii="宋体" w:eastAsia="宋体"/>
    </w:rPr>
  </w:style>
  <w:style w:type="paragraph" w:customStyle="1" w:styleId="115">
    <w:name w:val="实施日期"/>
    <w:basedOn w:val="76"/>
    <w:qFormat/>
    <w:uiPriority w:val="0"/>
    <w:pPr>
      <w:framePr w:wrap="around" w:vAnchor="page" w:hAnchor="text"/>
      <w:jc w:val="right"/>
    </w:pPr>
  </w:style>
  <w:style w:type="paragraph" w:customStyle="1" w:styleId="116">
    <w:name w:val="示例后文字"/>
    <w:basedOn w:val="23"/>
    <w:next w:val="23"/>
    <w:qFormat/>
    <w:uiPriority w:val="0"/>
    <w:pPr>
      <w:ind w:firstLine="360"/>
    </w:pPr>
    <w:rPr>
      <w:sz w:val="18"/>
    </w:rPr>
  </w:style>
  <w:style w:type="paragraph" w:customStyle="1" w:styleId="117">
    <w:name w:val="首示例"/>
    <w:next w:val="23"/>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0" w:beforeLines="0" w:after="0" w:afterLines="0"/>
    </w:pPr>
    <w:rPr>
      <w:rFonts w:ascii="宋体" w:eastAsia="宋体"/>
    </w:rPr>
  </w:style>
  <w:style w:type="paragraph" w:customStyle="1" w:styleId="120">
    <w:name w:val="条文脚注"/>
    <w:basedOn w:val="24"/>
    <w:qFormat/>
    <w:uiPriority w:val="0"/>
    <w:pPr>
      <w:numPr>
        <w:numId w:val="0"/>
      </w:numPr>
      <w:jc w:val="both"/>
    </w:pPr>
  </w:style>
  <w:style w:type="paragraph" w:customStyle="1" w:styleId="121">
    <w:name w:val="图标脚注说明"/>
    <w:basedOn w:val="23"/>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0" w:beforeLines="0" w:after="0" w:afterLines="0"/>
    </w:pPr>
    <w:rPr>
      <w:rFonts w:ascii="宋体" w:eastAsia="宋体"/>
    </w:rPr>
  </w:style>
  <w:style w:type="paragraph" w:customStyle="1" w:styleId="126">
    <w:name w:val="一级无"/>
    <w:basedOn w:val="43"/>
    <w:qFormat/>
    <w:uiPriority w:val="0"/>
    <w:pPr>
      <w:spacing w:before="0" w:beforeLines="0" w:after="0" w:afterLines="0"/>
    </w:pPr>
    <w:rPr>
      <w:rFonts w:ascii="宋体" w:eastAsia="宋体"/>
    </w:rPr>
  </w:style>
  <w:style w:type="paragraph" w:customStyle="1" w:styleId="127">
    <w:name w:val="正文表标题"/>
    <w:next w:val="23"/>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3"/>
    <w:next w:val="23"/>
    <w:qFormat/>
    <w:uiPriority w:val="0"/>
    <w:pPr>
      <w:ind w:firstLine="0" w:firstLineChars="0"/>
    </w:pPr>
  </w:style>
  <w:style w:type="paragraph" w:customStyle="1" w:styleId="129">
    <w:name w:val="正文图标题"/>
    <w:next w:val="23"/>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basedOn w:val="76"/>
    <w:qFormat/>
    <w:uiPriority w:val="0"/>
    <w:pPr>
      <w:framePr w:wrap="around" w:vAnchor="page" w:hAnchor="text" w:x="1419"/>
    </w:pPr>
  </w:style>
  <w:style w:type="paragraph" w:customStyle="1" w:styleId="132">
    <w:name w:val="其他实施日期"/>
    <w:basedOn w:val="115"/>
    <w:qFormat/>
    <w:uiPriority w:val="0"/>
    <w:pPr>
      <w:framePr w:wrap="around"/>
    </w:pPr>
  </w:style>
  <w:style w:type="paragraph" w:customStyle="1" w:styleId="133">
    <w:name w:val="封面标准名称2"/>
    <w:basedOn w:val="79"/>
    <w:qFormat/>
    <w:uiPriority w:val="0"/>
    <w:pPr>
      <w:framePr w:wrap="around" w:y="4469"/>
      <w:spacing w:before="630" w:beforeLines="630"/>
    </w:pPr>
  </w:style>
  <w:style w:type="paragraph" w:customStyle="1" w:styleId="134">
    <w:name w:val="封面标准英文名称2"/>
    <w:basedOn w:val="80"/>
    <w:qFormat/>
    <w:uiPriority w:val="0"/>
    <w:pPr>
      <w:framePr w:wrap="around" w:y="4469"/>
    </w:pPr>
  </w:style>
  <w:style w:type="paragraph" w:customStyle="1" w:styleId="135">
    <w:name w:val="封面一致性程度标识2"/>
    <w:basedOn w:val="81"/>
    <w:qFormat/>
    <w:uiPriority w:val="0"/>
    <w:pPr>
      <w:framePr w:wrap="around" w:y="4469"/>
    </w:pPr>
  </w:style>
  <w:style w:type="paragraph" w:customStyle="1" w:styleId="136">
    <w:name w:val="封面标准文稿类别2"/>
    <w:basedOn w:val="82"/>
    <w:qFormat/>
    <w:uiPriority w:val="0"/>
    <w:pPr>
      <w:framePr w:wrap="around" w:y="4469"/>
    </w:pPr>
  </w:style>
  <w:style w:type="paragraph" w:customStyle="1" w:styleId="137">
    <w:name w:val="封面标准文稿编辑信息2"/>
    <w:basedOn w:val="83"/>
    <w:qFormat/>
    <w:uiPriority w:val="0"/>
    <w:pPr>
      <w:framePr w:wrap="around" w:y="4469"/>
    </w:pPr>
  </w:style>
  <w:style w:type="character" w:customStyle="1" w:styleId="138">
    <w:name w:val="批注框文本 字符"/>
    <w:link w:val="16"/>
    <w:qFormat/>
    <w:uiPriority w:val="0"/>
    <w:rPr>
      <w:kern w:val="2"/>
      <w:sz w:val="18"/>
      <w:szCs w:val="18"/>
    </w:rPr>
  </w:style>
  <w:style w:type="paragraph" w:customStyle="1" w:styleId="139">
    <w:name w:val="表头"/>
    <w:basedOn w:val="1"/>
    <w:qFormat/>
    <w:uiPriority w:val="0"/>
    <w:pPr>
      <w:jc w:val="center"/>
    </w:pPr>
    <w:rPr>
      <w:rFonts w:ascii="宋体" w:hAnsi="宋体"/>
      <w:b/>
      <w:bCs/>
      <w:sz w:val="18"/>
    </w:rPr>
  </w:style>
  <w:style w:type="paragraph" w:customStyle="1" w:styleId="140">
    <w:name w:val="表体"/>
    <w:basedOn w:val="1"/>
    <w:qFormat/>
    <w:uiPriority w:val="0"/>
    <w:pPr>
      <w:jc w:val="left"/>
    </w:pPr>
    <w:rPr>
      <w:sz w:val="18"/>
    </w:rPr>
  </w:style>
  <w:style w:type="character" w:customStyle="1" w:styleId="141">
    <w:name w:val="批注文字 字符"/>
    <w:basedOn w:val="35"/>
    <w:link w:val="7"/>
    <w:semiHidden/>
    <w:qFormat/>
    <w:uiPriority w:val="0"/>
    <w:rPr>
      <w:kern w:val="2"/>
      <w:sz w:val="21"/>
      <w:szCs w:val="24"/>
    </w:rPr>
  </w:style>
  <w:style w:type="character" w:customStyle="1" w:styleId="142">
    <w:name w:val="批注主题 字符"/>
    <w:basedOn w:val="141"/>
    <w:link w:val="32"/>
    <w:semiHidden/>
    <w:qFormat/>
    <w:uiPriority w:val="0"/>
    <w:rPr>
      <w:b/>
      <w:bCs/>
      <w:kern w:val="2"/>
      <w:sz w:val="21"/>
      <w:szCs w:val="24"/>
    </w:rPr>
  </w:style>
  <w:style w:type="character" w:customStyle="1" w:styleId="143">
    <w:name w:val="一级条标题 Char1"/>
    <w:link w:val="43"/>
    <w:qFormat/>
    <w:uiPriority w:val="0"/>
    <w:rPr>
      <w:rFonts w:ascii="黑体" w:eastAsia="黑体"/>
      <w:sz w:val="21"/>
      <w:szCs w:val="21"/>
    </w:rPr>
  </w:style>
  <w:style w:type="character" w:customStyle="1" w:styleId="144">
    <w:name w:val="纯文本 字符"/>
    <w:basedOn w:val="35"/>
    <w:semiHidden/>
    <w:qFormat/>
    <w:uiPriority w:val="0"/>
    <w:rPr>
      <w:rFonts w:hAnsi="Courier New" w:cs="Courier New" w:asciiTheme="minorEastAsia" w:eastAsiaTheme="minorEastAsia"/>
      <w:kern w:val="2"/>
      <w:sz w:val="21"/>
      <w:szCs w:val="24"/>
    </w:rPr>
  </w:style>
  <w:style w:type="character" w:customStyle="1" w:styleId="145">
    <w:name w:val="纯文本 字符1"/>
    <w:basedOn w:val="35"/>
    <w:link w:val="12"/>
    <w:qFormat/>
    <w:uiPriority w:val="0"/>
    <w:rPr>
      <w:rFonts w:ascii="宋体" w:hAnsi="Courier New" w:cs="Courier New" w:eastAsiaTheme="minorEastAsia"/>
      <w:kern w:val="2"/>
      <w:sz w:val="21"/>
      <w:szCs w:val="21"/>
    </w:rPr>
  </w:style>
  <w:style w:type="paragraph" w:customStyle="1" w:styleId="146">
    <w:name w:val="修订1"/>
    <w:hidden/>
    <w:semiHidden/>
    <w:qFormat/>
    <w:uiPriority w:val="71"/>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E915B-45C1-4FED-9585-EAFB01A3D5C7}">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8</Pages>
  <Words>2297</Words>
  <Characters>2617</Characters>
  <Lines>22</Lines>
  <Paragraphs>6</Paragraphs>
  <TotalTime>30</TotalTime>
  <ScaleCrop>false</ScaleCrop>
  <LinksUpToDate>false</LinksUpToDate>
  <CharactersWithSpaces>2720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2020-11-03T11:51:00Z</dcterms:created>
  <dc:creator>CNIS</dc:creator>
  <cp:lastModifiedBy>张海燕</cp:lastModifiedBy>
  <cp:lastPrinted>2022-04-08T01:14:00Z</cp:lastPrinted>
  <dcterms:modified xsi:type="dcterms:W3CDTF">2022-04-22T01:32:29Z</dcterms:modified>
  <dc:title>标准名称</dc:title>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F8DF21DBA1EB42CA8907FDEEA2B42377</vt:lpwstr>
  </property>
</Properties>
</file>